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4DD31" w14:textId="77777777" w:rsidR="00767174" w:rsidRDefault="00767174">
      <w:pPr>
        <w:pStyle w:val="BodyText"/>
        <w:rPr>
          <w:rFonts w:ascii="Times New Roman"/>
          <w:sz w:val="20"/>
        </w:rPr>
      </w:pPr>
    </w:p>
    <w:p w14:paraId="6E5B8FDF" w14:textId="77777777" w:rsidR="00767174" w:rsidRDefault="00767174">
      <w:pPr>
        <w:pStyle w:val="BodyText"/>
        <w:rPr>
          <w:rFonts w:ascii="Times New Roman"/>
          <w:sz w:val="20"/>
        </w:rPr>
      </w:pPr>
    </w:p>
    <w:p w14:paraId="62B22B6F" w14:textId="77777777" w:rsidR="00520ADE" w:rsidRDefault="00520ADE">
      <w:pPr>
        <w:pStyle w:val="BodyText"/>
        <w:rPr>
          <w:rFonts w:ascii="Times New Roman"/>
          <w:sz w:val="20"/>
        </w:rPr>
      </w:pPr>
    </w:p>
    <w:p w14:paraId="683933AA" w14:textId="77777777" w:rsidR="00520ADE" w:rsidRDefault="00520ADE">
      <w:pPr>
        <w:pStyle w:val="BodyText"/>
        <w:rPr>
          <w:rFonts w:ascii="Times New Roman"/>
          <w:sz w:val="20"/>
        </w:rPr>
      </w:pPr>
    </w:p>
    <w:p w14:paraId="757FE1A3" w14:textId="77777777" w:rsidR="00520ADE" w:rsidRDefault="00520ADE">
      <w:pPr>
        <w:pStyle w:val="BodyText"/>
        <w:rPr>
          <w:rFonts w:ascii="Times New Roman"/>
          <w:sz w:val="20"/>
        </w:rPr>
      </w:pPr>
    </w:p>
    <w:p w14:paraId="46002519" w14:textId="77777777" w:rsidR="00520ADE" w:rsidRDefault="00520ADE">
      <w:pPr>
        <w:pStyle w:val="BodyText"/>
        <w:rPr>
          <w:rFonts w:ascii="Times New Roman"/>
          <w:sz w:val="20"/>
        </w:rPr>
      </w:pPr>
    </w:p>
    <w:p w14:paraId="0E9C05BA" w14:textId="77777777" w:rsidR="00520ADE" w:rsidRDefault="00520ADE">
      <w:pPr>
        <w:pStyle w:val="BodyText"/>
        <w:rPr>
          <w:rFonts w:ascii="Times New Roman"/>
          <w:sz w:val="20"/>
        </w:rPr>
      </w:pPr>
    </w:p>
    <w:p w14:paraId="12947BA7" w14:textId="77777777" w:rsidR="00520ADE" w:rsidRDefault="00520ADE">
      <w:pPr>
        <w:pStyle w:val="BodyText"/>
        <w:rPr>
          <w:rFonts w:ascii="Times New Roman"/>
          <w:sz w:val="20"/>
        </w:rPr>
      </w:pPr>
    </w:p>
    <w:p w14:paraId="6558694B" w14:textId="77777777" w:rsidR="00520ADE" w:rsidRDefault="00520ADE">
      <w:pPr>
        <w:pStyle w:val="BodyText"/>
        <w:rPr>
          <w:rFonts w:ascii="Times New Roman"/>
          <w:sz w:val="20"/>
        </w:rPr>
      </w:pPr>
    </w:p>
    <w:p w14:paraId="0BCC41DC" w14:textId="77777777" w:rsidR="00520ADE" w:rsidRDefault="00520ADE">
      <w:pPr>
        <w:pStyle w:val="BodyText"/>
        <w:rPr>
          <w:rFonts w:ascii="Times New Roman"/>
          <w:sz w:val="20"/>
        </w:rPr>
      </w:pPr>
    </w:p>
    <w:p w14:paraId="36073FB5" w14:textId="5160F9BF" w:rsidR="00520ADE" w:rsidRDefault="00520ADE">
      <w:pPr>
        <w:pStyle w:val="BodyText"/>
        <w:rPr>
          <w:rFonts w:ascii="Times New Roman"/>
          <w:sz w:val="20"/>
          <w:szCs w:val="20"/>
        </w:rPr>
      </w:pPr>
    </w:p>
    <w:p w14:paraId="4F23D1BA" w14:textId="45C0C4F5" w:rsidR="00520ADE" w:rsidRDefault="00520ADE">
      <w:pPr>
        <w:pStyle w:val="BodyText"/>
        <w:rPr>
          <w:rFonts w:ascii="Times New Roman"/>
          <w:sz w:val="20"/>
          <w:szCs w:val="20"/>
        </w:rPr>
      </w:pPr>
    </w:p>
    <w:p w14:paraId="2C31B7A5" w14:textId="0FF3310B" w:rsidR="00520ADE" w:rsidRDefault="00520ADE" w:rsidP="270EF5FA">
      <w:pPr>
        <w:pStyle w:val="BodyText"/>
        <w:rPr>
          <w:rFonts w:ascii="Times New Roman"/>
          <w:sz w:val="20"/>
          <w:szCs w:val="20"/>
        </w:rPr>
      </w:pPr>
    </w:p>
    <w:p w14:paraId="0A5EFE13" w14:textId="31B993E8" w:rsidR="00C30297" w:rsidRPr="00C30297" w:rsidRDefault="002579F3" w:rsidP="1ACA2E64">
      <w:pPr>
        <w:spacing w:before="247"/>
        <w:rPr>
          <w:b/>
          <w:bCs/>
          <w:sz w:val="40"/>
          <w:szCs w:val="40"/>
        </w:rPr>
      </w:pPr>
      <w:r>
        <w:rPr>
          <w:b/>
          <w:noProof/>
          <w:lang w:bidi="ar-SA"/>
        </w:rPr>
        <mc:AlternateContent>
          <mc:Choice Requires="wps">
            <w:drawing>
              <wp:anchor distT="0" distB="0" distL="0" distR="0" simplePos="0" relativeHeight="251658240" behindDoc="0" locked="0" layoutInCell="1" allowOverlap="1" wp14:anchorId="20234011" wp14:editId="035DA079">
                <wp:simplePos x="0" y="0"/>
                <wp:positionH relativeFrom="page">
                  <wp:posOffset>896620</wp:posOffset>
                </wp:positionH>
                <wp:positionV relativeFrom="paragraph">
                  <wp:posOffset>511175</wp:posOffset>
                </wp:positionV>
                <wp:extent cx="5768975" cy="0"/>
                <wp:effectExtent l="10795" t="9525" r="11430" b="9525"/>
                <wp:wrapTopAndBottom/>
                <wp:docPr id="24"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1AA7B53" id="Line 300"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40.25pt" to="524.8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" strokeweight=".48pt">
                <w10:wrap type="topAndBottom" anchorx="page"/>
              </v:line>
            </w:pict>
          </mc:Fallback>
        </mc:AlternateContent>
      </w:r>
      <w:r w:rsidR="57A62FC0" w:rsidRPr="403FCADB">
        <w:rPr>
          <w:b/>
          <w:bCs/>
          <w:sz w:val="40"/>
          <w:szCs w:val="40"/>
        </w:rPr>
        <w:t xml:space="preserve"> </w:t>
      </w:r>
      <w:r w:rsidR="00C30297" w:rsidRPr="403FCADB">
        <w:rPr>
          <w:b/>
          <w:bCs/>
          <w:sz w:val="40"/>
          <w:szCs w:val="40"/>
        </w:rPr>
        <w:t>Dementia</w:t>
      </w:r>
    </w:p>
    <w:p w14:paraId="7945DD2A" w14:textId="069C86B6" w:rsidR="006A7981" w:rsidRPr="006A7981" w:rsidRDefault="006A7981" w:rsidP="1ACA2E64">
      <w:pPr>
        <w:widowControl/>
        <w:autoSpaceDE/>
        <w:autoSpaceDN/>
        <w:spacing w:before="240" w:after="200" w:line="276" w:lineRule="auto"/>
        <w:rPr>
          <w:rFonts w:eastAsiaTheme="minorEastAsia"/>
          <w:color w:val="244061" w:themeColor="accent1" w:themeShade="80"/>
          <w:sz w:val="36"/>
          <w:szCs w:val="36"/>
          <w:lang w:eastAsia="en-US" w:bidi="ar-SA"/>
        </w:rPr>
      </w:pPr>
      <w:r w:rsidRPr="1ACA2E64">
        <w:rPr>
          <w:rFonts w:eastAsiaTheme="minorEastAsia"/>
          <w:b/>
          <w:bCs/>
          <w:spacing w:val="100"/>
          <w:sz w:val="36"/>
          <w:szCs w:val="36"/>
          <w:lang w:eastAsia="en-US" w:bidi="ar-SA"/>
        </w:rPr>
        <w:t>JSNA Report</w:t>
      </w:r>
      <w:r w:rsidRPr="006A7981">
        <w:rPr>
          <w:rFonts w:eastAsiaTheme="minorEastAsia"/>
          <w:color w:val="244061" w:themeColor="accent1" w:themeShade="80"/>
          <w:spacing w:val="100"/>
          <w:sz w:val="36"/>
          <w:szCs w:val="36"/>
          <w:lang w:eastAsia="en-US" w:bidi="ar-SA"/>
        </w:rPr>
        <w:tab/>
      </w:r>
      <w:r w:rsidRPr="006A7981">
        <w:rPr>
          <w:rFonts w:eastAsiaTheme="minorEastAsia"/>
          <w:color w:val="244061" w:themeColor="accent1" w:themeShade="80"/>
          <w:spacing w:val="100"/>
          <w:sz w:val="36"/>
          <w:szCs w:val="36"/>
          <w:lang w:eastAsia="en-US" w:bidi="ar-SA"/>
        </w:rPr>
        <w:tab/>
      </w:r>
      <w:r w:rsidRPr="006A7981">
        <w:rPr>
          <w:rFonts w:eastAsiaTheme="minorEastAsia"/>
          <w:color w:val="244061" w:themeColor="accent1" w:themeShade="80"/>
          <w:spacing w:val="100"/>
          <w:sz w:val="36"/>
          <w:szCs w:val="36"/>
          <w:lang w:eastAsia="en-US" w:bidi="ar-SA"/>
        </w:rPr>
        <w:tab/>
      </w:r>
    </w:p>
    <w:p w14:paraId="0842924A" w14:textId="77777777" w:rsidR="006A7981" w:rsidRPr="006A7981" w:rsidRDefault="006A7981" w:rsidP="006A7981">
      <w:pPr>
        <w:widowControl/>
        <w:autoSpaceDE/>
        <w:autoSpaceDN/>
        <w:spacing w:after="200" w:line="276" w:lineRule="auto"/>
        <w:rPr>
          <w:rFonts w:eastAsiaTheme="minorEastAsia"/>
          <w:sz w:val="24"/>
          <w:szCs w:val="24"/>
          <w:lang w:eastAsia="en-US" w:bidi="ar-SA"/>
        </w:rPr>
      </w:pPr>
    </w:p>
    <w:p w14:paraId="7CF2E870" w14:textId="446C2EEC" w:rsidR="006A7981" w:rsidRPr="00C30297" w:rsidRDefault="006A7981" w:rsidP="1ACA2E64">
      <w:pPr>
        <w:widowControl/>
        <w:autoSpaceDE/>
        <w:autoSpaceDN/>
        <w:spacing w:after="200" w:line="276" w:lineRule="auto"/>
        <w:rPr>
          <w:rFonts w:asciiTheme="minorHAnsi" w:eastAsiaTheme="minorEastAsia" w:hAnsiTheme="minorHAnsi"/>
          <w:b/>
          <w:bCs/>
          <w:sz w:val="24"/>
          <w:szCs w:val="24"/>
          <w:lang w:eastAsia="en-US" w:bidi="ar-SA"/>
        </w:rPr>
      </w:pPr>
      <w:r w:rsidRPr="1ACA2E64">
        <w:rPr>
          <w:rFonts w:asciiTheme="minorHAnsi" w:eastAsiaTheme="minorEastAsia" w:hAnsiTheme="minorHAnsi"/>
          <w:sz w:val="24"/>
          <w:szCs w:val="24"/>
          <w:lang w:eastAsia="en-US" w:bidi="ar-SA"/>
        </w:rPr>
        <w:t>This version published in</w:t>
      </w:r>
      <w:r w:rsidRPr="1ACA2E64">
        <w:rPr>
          <w:rFonts w:asciiTheme="minorHAnsi" w:eastAsiaTheme="minorEastAsia" w:hAnsiTheme="minorHAnsi"/>
          <w:b/>
          <w:bCs/>
          <w:sz w:val="24"/>
          <w:szCs w:val="24"/>
          <w:lang w:eastAsia="en-US" w:bidi="ar-SA"/>
        </w:rPr>
        <w:t xml:space="preserve"> </w:t>
      </w:r>
      <w:r w:rsidR="000C6BE0">
        <w:rPr>
          <w:rFonts w:asciiTheme="minorHAnsi" w:eastAsiaTheme="minorEastAsia" w:hAnsiTheme="minorHAnsi"/>
          <w:b/>
          <w:bCs/>
          <w:sz w:val="24"/>
          <w:szCs w:val="24"/>
          <w:lang w:eastAsia="en-US" w:bidi="ar-SA"/>
        </w:rPr>
        <w:t>August</w:t>
      </w:r>
      <w:r w:rsidR="0040518D">
        <w:rPr>
          <w:rFonts w:asciiTheme="minorHAnsi" w:eastAsiaTheme="minorEastAsia" w:hAnsiTheme="minorHAnsi"/>
          <w:b/>
          <w:bCs/>
          <w:sz w:val="24"/>
          <w:szCs w:val="24"/>
          <w:lang w:eastAsia="en-US" w:bidi="ar-SA"/>
        </w:rPr>
        <w:t xml:space="preserve"> </w:t>
      </w:r>
      <w:r w:rsidR="007A45DB">
        <w:rPr>
          <w:rFonts w:asciiTheme="minorHAnsi" w:eastAsiaTheme="minorEastAsia" w:hAnsiTheme="minorHAnsi"/>
          <w:b/>
          <w:bCs/>
          <w:sz w:val="24"/>
          <w:szCs w:val="24"/>
          <w:lang w:eastAsia="en-US" w:bidi="ar-SA"/>
        </w:rPr>
        <w:t>2026</w:t>
      </w:r>
    </w:p>
    <w:p w14:paraId="0DCBFC70" w14:textId="24902E49" w:rsidR="006A7981" w:rsidRPr="00C30297" w:rsidRDefault="006A7981" w:rsidP="1ACA2E64">
      <w:pPr>
        <w:widowControl/>
        <w:autoSpaceDE/>
        <w:autoSpaceDN/>
        <w:spacing w:after="200" w:line="276" w:lineRule="auto"/>
        <w:rPr>
          <w:rFonts w:asciiTheme="minorHAnsi" w:eastAsiaTheme="minorEastAsia" w:hAnsiTheme="minorHAnsi"/>
          <w:b/>
          <w:bCs/>
          <w:sz w:val="24"/>
          <w:szCs w:val="24"/>
          <w:lang w:eastAsia="en-US" w:bidi="ar-SA"/>
        </w:rPr>
      </w:pPr>
      <w:r w:rsidRPr="1ACA2E64">
        <w:rPr>
          <w:rFonts w:asciiTheme="minorHAnsi" w:eastAsiaTheme="minorEastAsia" w:hAnsiTheme="minorHAnsi"/>
          <w:sz w:val="24"/>
          <w:szCs w:val="24"/>
          <w:lang w:eastAsia="en-US" w:bidi="ar-SA"/>
        </w:rPr>
        <w:t xml:space="preserve">To be reviewed in </w:t>
      </w:r>
      <w:r w:rsidR="000C6BE0">
        <w:rPr>
          <w:rFonts w:asciiTheme="minorHAnsi" w:eastAsiaTheme="minorEastAsia" w:hAnsiTheme="minorHAnsi"/>
          <w:sz w:val="24"/>
          <w:szCs w:val="24"/>
          <w:lang w:eastAsia="en-US" w:bidi="ar-SA"/>
        </w:rPr>
        <w:t>August</w:t>
      </w:r>
      <w:r w:rsidR="0040518D">
        <w:rPr>
          <w:rFonts w:asciiTheme="minorHAnsi" w:eastAsiaTheme="minorEastAsia" w:hAnsiTheme="minorHAnsi"/>
          <w:sz w:val="24"/>
          <w:szCs w:val="24"/>
          <w:lang w:eastAsia="en-US" w:bidi="ar-SA"/>
        </w:rPr>
        <w:t xml:space="preserve"> </w:t>
      </w:r>
      <w:r w:rsidR="007A45DB">
        <w:rPr>
          <w:rFonts w:asciiTheme="minorHAnsi" w:eastAsiaTheme="minorEastAsia" w:hAnsiTheme="minorHAnsi"/>
          <w:sz w:val="24"/>
          <w:szCs w:val="24"/>
          <w:lang w:eastAsia="en-US" w:bidi="ar-SA"/>
        </w:rPr>
        <w:t>2028</w:t>
      </w:r>
    </w:p>
    <w:p w14:paraId="65A00FF4" w14:textId="77777777" w:rsidR="006A7981" w:rsidRPr="00C30297" w:rsidRDefault="006A7981" w:rsidP="006A7981">
      <w:pPr>
        <w:widowControl/>
        <w:autoSpaceDE/>
        <w:autoSpaceDN/>
        <w:spacing w:after="200" w:line="276" w:lineRule="auto"/>
        <w:rPr>
          <w:rFonts w:eastAsiaTheme="minorEastAsia"/>
          <w:b/>
          <w:sz w:val="24"/>
          <w:szCs w:val="24"/>
          <w:lang w:eastAsia="en-US" w:bidi="ar-SA"/>
        </w:rPr>
      </w:pPr>
    </w:p>
    <w:p w14:paraId="4890F77B" w14:textId="0C93ED15" w:rsidR="006A7981" w:rsidRPr="00C30297" w:rsidRDefault="006A7981" w:rsidP="1ACA2E64">
      <w:pPr>
        <w:widowControl/>
        <w:autoSpaceDE/>
        <w:autoSpaceDN/>
        <w:spacing w:after="200" w:line="276" w:lineRule="auto"/>
        <w:rPr>
          <w:rFonts w:asciiTheme="minorHAnsi" w:eastAsiaTheme="minorEastAsia" w:hAnsiTheme="minorHAnsi"/>
          <w:b/>
          <w:bCs/>
          <w:sz w:val="24"/>
          <w:szCs w:val="24"/>
          <w:lang w:eastAsia="en-US" w:bidi="ar-SA"/>
        </w:rPr>
      </w:pPr>
      <w:r w:rsidRPr="1ACA2E64">
        <w:rPr>
          <w:rFonts w:asciiTheme="minorHAnsi" w:eastAsiaTheme="minorEastAsia" w:hAnsiTheme="minorHAnsi"/>
          <w:b/>
          <w:bCs/>
          <w:sz w:val="24"/>
          <w:szCs w:val="24"/>
          <w:lang w:eastAsia="en-US" w:bidi="ar-SA"/>
        </w:rPr>
        <w:t xml:space="preserve">Authorised for publication by </w:t>
      </w:r>
      <w:r w:rsidR="0040518D">
        <w:rPr>
          <w:rFonts w:asciiTheme="minorHAnsi" w:eastAsiaTheme="minorEastAsia" w:hAnsiTheme="minorHAnsi"/>
          <w:b/>
          <w:bCs/>
          <w:sz w:val="24"/>
          <w:szCs w:val="24"/>
          <w:lang w:eastAsia="en-US" w:bidi="ar-SA"/>
        </w:rPr>
        <w:t>Richard Holford</w:t>
      </w:r>
      <w:r w:rsidR="000345AC">
        <w:rPr>
          <w:rFonts w:asciiTheme="minorHAnsi" w:eastAsiaTheme="minorEastAsia" w:hAnsiTheme="minorHAnsi"/>
          <w:b/>
          <w:bCs/>
          <w:sz w:val="24"/>
          <w:szCs w:val="24"/>
          <w:lang w:eastAsia="en-US" w:bidi="ar-SA"/>
        </w:rPr>
        <w:t>,</w:t>
      </w:r>
      <w:r w:rsidR="0040518D">
        <w:rPr>
          <w:rFonts w:asciiTheme="minorHAnsi" w:eastAsiaTheme="minorEastAsia" w:hAnsiTheme="minorHAnsi"/>
          <w:b/>
          <w:bCs/>
          <w:sz w:val="24"/>
          <w:szCs w:val="24"/>
          <w:lang w:eastAsia="en-US" w:bidi="ar-SA"/>
        </w:rPr>
        <w:t xml:space="preserve"> Consultant in </w:t>
      </w:r>
      <w:r w:rsidRPr="1ACA2E64">
        <w:rPr>
          <w:rFonts w:asciiTheme="minorHAnsi" w:eastAsiaTheme="minorEastAsia" w:hAnsiTheme="minorHAnsi"/>
          <w:b/>
          <w:bCs/>
          <w:sz w:val="24"/>
          <w:szCs w:val="24"/>
          <w:lang w:eastAsia="en-US" w:bidi="ar-SA"/>
        </w:rPr>
        <w:t>Public Health</w:t>
      </w:r>
    </w:p>
    <w:p w14:paraId="7C72FC7A" w14:textId="77777777" w:rsidR="00520ADE" w:rsidRDefault="00520ADE">
      <w:pPr>
        <w:sectPr w:rsidR="00520ADE">
          <w:headerReference w:type="default" r:id="rId11"/>
          <w:footerReference w:type="default" r:id="rId12"/>
          <w:type w:val="continuous"/>
          <w:pgSz w:w="11910" w:h="16840"/>
          <w:pgMar w:top="1340" w:right="0" w:bottom="920" w:left="1300" w:header="708" w:footer="734" w:gutter="0"/>
          <w:pgNumType w:start="1"/>
          <w:cols w:space="720"/>
        </w:sectPr>
      </w:pPr>
    </w:p>
    <w:p w14:paraId="624CC982" w14:textId="77777777" w:rsidR="006A7981" w:rsidRPr="00C30297" w:rsidRDefault="006A7981" w:rsidP="006A7981">
      <w:pPr>
        <w:widowControl/>
        <w:autoSpaceDE/>
        <w:autoSpaceDN/>
        <w:spacing w:after="200" w:line="276" w:lineRule="auto"/>
        <w:rPr>
          <w:rFonts w:asciiTheme="minorHAnsi" w:eastAsiaTheme="minorEastAsia" w:hAnsiTheme="minorHAnsi"/>
          <w:b/>
          <w:spacing w:val="60"/>
          <w:sz w:val="32"/>
          <w:szCs w:val="32"/>
          <w:lang w:eastAsia="en-US" w:bidi="ar-SA"/>
        </w:rPr>
      </w:pPr>
      <w:r w:rsidRPr="00C30297">
        <w:rPr>
          <w:rFonts w:asciiTheme="minorHAnsi" w:eastAsiaTheme="minorEastAsia" w:hAnsiTheme="minorHAnsi"/>
          <w:b/>
          <w:spacing w:val="60"/>
          <w:sz w:val="32"/>
          <w:szCs w:val="32"/>
          <w:lang w:eastAsia="en-US" w:bidi="ar-SA"/>
        </w:rPr>
        <w:lastRenderedPageBreak/>
        <w:t>Further information</w:t>
      </w:r>
    </w:p>
    <w:p w14:paraId="36DB5D5D" w14:textId="77777777" w:rsidR="00911878" w:rsidRDefault="006A7981" w:rsidP="006A7981">
      <w:pPr>
        <w:widowControl/>
        <w:autoSpaceDE/>
        <w:autoSpaceDN/>
        <w:spacing w:after="200" w:line="276" w:lineRule="auto"/>
        <w:jc w:val="both"/>
        <w:rPr>
          <w:rFonts w:asciiTheme="minorHAnsi" w:eastAsiaTheme="minorEastAsia" w:hAnsiTheme="minorHAnsi"/>
          <w:b/>
          <w:color w:val="244061" w:themeColor="accent1" w:themeShade="80"/>
          <w:sz w:val="24"/>
          <w:szCs w:val="24"/>
          <w:lang w:eastAsia="en-US" w:bidi="ar-SA"/>
        </w:rPr>
      </w:pPr>
      <w:r w:rsidRPr="006A7981">
        <w:rPr>
          <w:rFonts w:asciiTheme="minorHAnsi" w:eastAsiaTheme="minorEastAsia" w:hAnsiTheme="minorHAnsi"/>
          <w:sz w:val="24"/>
          <w:szCs w:val="24"/>
          <w:lang w:eastAsia="en-US" w:bidi="ar-SA"/>
        </w:rPr>
        <w:t>For a PDF copy of this report, and other research intelligence products, visit</w:t>
      </w:r>
      <w:r w:rsidRPr="006A7981">
        <w:rPr>
          <w:rFonts w:asciiTheme="minorHAnsi" w:eastAsiaTheme="minorEastAsia" w:hAnsiTheme="minorHAnsi"/>
          <w:b/>
          <w:color w:val="244061" w:themeColor="accent1" w:themeShade="80"/>
          <w:sz w:val="24"/>
          <w:szCs w:val="24"/>
          <w:lang w:eastAsia="en-US" w:bidi="ar-SA"/>
        </w:rPr>
        <w:t xml:space="preserve"> </w:t>
      </w:r>
      <w:hyperlink r:id="rId13" w:history="1">
        <w:r w:rsidRPr="006A7981">
          <w:rPr>
            <w:rFonts w:asciiTheme="minorHAnsi" w:eastAsiaTheme="minorEastAsia" w:hAnsiTheme="minorHAnsi"/>
            <w:b/>
            <w:i/>
            <w:color w:val="C0504D" w:themeColor="accent2"/>
            <w:sz w:val="24"/>
            <w:szCs w:val="24"/>
            <w:lang w:eastAsia="en-US" w:bidi="ar-SA"/>
          </w:rPr>
          <w:t>Knowsley Knowledge</w:t>
        </w:r>
      </w:hyperlink>
      <w:r w:rsidRPr="006A7981">
        <w:rPr>
          <w:rFonts w:asciiTheme="minorHAnsi" w:eastAsiaTheme="minorEastAsia" w:hAnsiTheme="minorHAnsi"/>
          <w:b/>
          <w:color w:val="244061" w:themeColor="accent1" w:themeShade="80"/>
          <w:sz w:val="24"/>
          <w:szCs w:val="24"/>
          <w:lang w:eastAsia="en-US" w:bidi="ar-SA"/>
        </w:rPr>
        <w:t xml:space="preserve"> </w:t>
      </w:r>
    </w:p>
    <w:p w14:paraId="18998A29" w14:textId="77777777" w:rsidR="006A7981" w:rsidRPr="006A7981" w:rsidRDefault="006A7981" w:rsidP="006A7981">
      <w:pPr>
        <w:widowControl/>
        <w:autoSpaceDE/>
        <w:autoSpaceDN/>
        <w:spacing w:after="200" w:line="276" w:lineRule="auto"/>
        <w:jc w:val="both"/>
        <w:rPr>
          <w:rFonts w:asciiTheme="minorHAnsi" w:eastAsiaTheme="minorEastAsia" w:hAnsiTheme="minorHAnsi"/>
          <w:sz w:val="24"/>
          <w:szCs w:val="24"/>
          <w:lang w:eastAsia="en-US" w:bidi="ar-SA"/>
        </w:rPr>
      </w:pPr>
      <w:r w:rsidRPr="006A7981">
        <w:rPr>
          <w:rFonts w:asciiTheme="minorHAnsi" w:eastAsiaTheme="minorEastAsia" w:hAnsiTheme="minorHAnsi"/>
          <w:sz w:val="24"/>
          <w:szCs w:val="24"/>
          <w:lang w:eastAsia="en-US" w:bidi="ar-SA"/>
        </w:rPr>
        <w:t>– the website of Knowsley’s JSNA.</w:t>
      </w:r>
    </w:p>
    <w:p w14:paraId="55560469" w14:textId="77777777" w:rsidR="006A7981" w:rsidRPr="006A7981" w:rsidRDefault="006A7981" w:rsidP="006A7981">
      <w:pPr>
        <w:widowControl/>
        <w:autoSpaceDE/>
        <w:autoSpaceDN/>
        <w:spacing w:after="200" w:line="276" w:lineRule="auto"/>
        <w:jc w:val="both"/>
        <w:rPr>
          <w:rFonts w:asciiTheme="minorHAnsi" w:eastAsiaTheme="minorEastAsia" w:hAnsiTheme="minorHAnsi"/>
          <w:sz w:val="24"/>
          <w:szCs w:val="24"/>
          <w:lang w:eastAsia="en-US" w:bidi="ar-SA"/>
        </w:rPr>
      </w:pPr>
    </w:p>
    <w:p w14:paraId="5FF40EDA" w14:textId="77777777" w:rsidR="006A7981" w:rsidRPr="00C30297" w:rsidRDefault="006A7981" w:rsidP="006A7981">
      <w:pPr>
        <w:widowControl/>
        <w:autoSpaceDE/>
        <w:autoSpaceDN/>
        <w:spacing w:after="200" w:line="276" w:lineRule="auto"/>
        <w:rPr>
          <w:rFonts w:asciiTheme="minorHAnsi" w:eastAsiaTheme="minorEastAsia" w:hAnsiTheme="minorHAnsi"/>
          <w:b/>
          <w:spacing w:val="60"/>
          <w:sz w:val="32"/>
          <w:szCs w:val="32"/>
          <w:lang w:eastAsia="en-US" w:bidi="ar-SA"/>
        </w:rPr>
      </w:pPr>
      <w:r w:rsidRPr="00C30297">
        <w:rPr>
          <w:rFonts w:asciiTheme="minorHAnsi" w:eastAsiaTheme="minorEastAsia" w:hAnsiTheme="minorHAnsi"/>
          <w:b/>
          <w:spacing w:val="60"/>
          <w:sz w:val="32"/>
          <w:szCs w:val="32"/>
          <w:lang w:eastAsia="en-US" w:bidi="ar-SA"/>
        </w:rPr>
        <w:t>Reader information</w:t>
      </w:r>
    </w:p>
    <w:tbl>
      <w:tblPr>
        <w:tblStyle w:val="TableGrid"/>
        <w:tblW w:w="0" w:type="auto"/>
        <w:tblLook w:val="04A0" w:firstRow="1" w:lastRow="0" w:firstColumn="1" w:lastColumn="0" w:noHBand="0" w:noVBand="1"/>
      </w:tblPr>
      <w:tblGrid>
        <w:gridCol w:w="2125"/>
        <w:gridCol w:w="7481"/>
      </w:tblGrid>
      <w:tr w:rsidR="006A7981" w:rsidRPr="006A7981" w14:paraId="3ED2AAB4" w14:textId="77777777" w:rsidTr="00C10D4B">
        <w:trPr>
          <w:trHeight w:val="425"/>
        </w:trPr>
        <w:tc>
          <w:tcPr>
            <w:tcW w:w="2125" w:type="dxa"/>
            <w:shd w:val="clear" w:color="auto" w:fill="F2F2F2" w:themeFill="background1" w:themeFillShade="F2"/>
            <w:vAlign w:val="center"/>
          </w:tcPr>
          <w:p w14:paraId="30EAB1D0" w14:textId="77777777" w:rsidR="006A7981" w:rsidRPr="00C10D4B" w:rsidRDefault="006A7981" w:rsidP="006A7981">
            <w:pPr>
              <w:rPr>
                <w:rFonts w:eastAsiaTheme="minorEastAsia"/>
                <w:sz w:val="24"/>
                <w:szCs w:val="24"/>
                <w:lang w:eastAsia="en-US" w:bidi="ar-SA"/>
              </w:rPr>
            </w:pPr>
            <w:r w:rsidRPr="00C10D4B">
              <w:rPr>
                <w:rFonts w:eastAsiaTheme="minorEastAsia"/>
                <w:sz w:val="24"/>
                <w:szCs w:val="24"/>
                <w:lang w:eastAsia="en-US" w:bidi="ar-SA"/>
              </w:rPr>
              <w:t>Title</w:t>
            </w:r>
          </w:p>
        </w:tc>
        <w:tc>
          <w:tcPr>
            <w:tcW w:w="7481" w:type="dxa"/>
            <w:vAlign w:val="center"/>
          </w:tcPr>
          <w:p w14:paraId="36B452A1" w14:textId="77777777" w:rsidR="006A7981" w:rsidRPr="00C10D4B" w:rsidRDefault="006A7981" w:rsidP="00FC3A5E">
            <w:pPr>
              <w:rPr>
                <w:rFonts w:eastAsiaTheme="minorEastAsia"/>
                <w:sz w:val="24"/>
                <w:szCs w:val="24"/>
                <w:lang w:eastAsia="en-US" w:bidi="ar-SA"/>
              </w:rPr>
            </w:pPr>
            <w:r w:rsidRPr="00C10D4B">
              <w:rPr>
                <w:rFonts w:eastAsiaTheme="minorEastAsia"/>
                <w:sz w:val="24"/>
                <w:szCs w:val="24"/>
                <w:lang w:eastAsia="en-US" w:bidi="ar-SA"/>
              </w:rPr>
              <w:t>‘</w:t>
            </w:r>
            <w:r w:rsidR="00FC3A5E" w:rsidRPr="00C10D4B">
              <w:rPr>
                <w:rFonts w:eastAsiaTheme="minorEastAsia"/>
                <w:sz w:val="24"/>
                <w:szCs w:val="24"/>
                <w:lang w:eastAsia="en-US" w:bidi="ar-SA"/>
              </w:rPr>
              <w:t>Dementia</w:t>
            </w:r>
            <w:r w:rsidRPr="00C10D4B">
              <w:rPr>
                <w:rFonts w:eastAsiaTheme="minorEastAsia"/>
                <w:sz w:val="24"/>
                <w:szCs w:val="24"/>
                <w:lang w:eastAsia="en-US" w:bidi="ar-SA"/>
              </w:rPr>
              <w:t xml:space="preserve"> JSNA Report’</w:t>
            </w:r>
          </w:p>
        </w:tc>
      </w:tr>
      <w:tr w:rsidR="006A7981" w:rsidRPr="006A7981" w14:paraId="7104AB14" w14:textId="77777777" w:rsidTr="00C10D4B">
        <w:trPr>
          <w:trHeight w:val="425"/>
        </w:trPr>
        <w:tc>
          <w:tcPr>
            <w:tcW w:w="2125" w:type="dxa"/>
            <w:shd w:val="clear" w:color="auto" w:fill="F2F2F2" w:themeFill="background1" w:themeFillShade="F2"/>
            <w:vAlign w:val="center"/>
          </w:tcPr>
          <w:p w14:paraId="32EB886B" w14:textId="77777777" w:rsidR="006A7981" w:rsidRPr="00C10D4B" w:rsidRDefault="006A7981" w:rsidP="006A7981">
            <w:pPr>
              <w:rPr>
                <w:rFonts w:eastAsiaTheme="minorEastAsia"/>
                <w:sz w:val="24"/>
                <w:szCs w:val="24"/>
                <w:lang w:eastAsia="en-US" w:bidi="ar-SA"/>
              </w:rPr>
            </w:pPr>
            <w:r w:rsidRPr="00C10D4B">
              <w:rPr>
                <w:rFonts w:eastAsiaTheme="minorEastAsia"/>
                <w:sz w:val="24"/>
                <w:szCs w:val="24"/>
                <w:lang w:eastAsia="en-US" w:bidi="ar-SA"/>
              </w:rPr>
              <w:t>Author</w:t>
            </w:r>
            <w:r w:rsidR="00B923D9" w:rsidRPr="00C10D4B">
              <w:rPr>
                <w:rFonts w:eastAsiaTheme="minorEastAsia"/>
                <w:sz w:val="24"/>
                <w:szCs w:val="24"/>
                <w:lang w:eastAsia="en-US" w:bidi="ar-SA"/>
              </w:rPr>
              <w:t>s</w:t>
            </w:r>
          </w:p>
        </w:tc>
        <w:tc>
          <w:tcPr>
            <w:tcW w:w="7481" w:type="dxa"/>
            <w:vAlign w:val="center"/>
          </w:tcPr>
          <w:p w14:paraId="12F58BE6" w14:textId="77777777" w:rsidR="006A7981" w:rsidRPr="00C10D4B" w:rsidRDefault="004A10DC" w:rsidP="006A7981">
            <w:pPr>
              <w:rPr>
                <w:rFonts w:eastAsiaTheme="minorEastAsia"/>
                <w:sz w:val="24"/>
                <w:szCs w:val="24"/>
                <w:lang w:eastAsia="en-US" w:bidi="ar-SA"/>
              </w:rPr>
            </w:pPr>
            <w:r w:rsidRPr="00C10D4B">
              <w:rPr>
                <w:rFonts w:eastAsiaTheme="minorEastAsia"/>
                <w:sz w:val="24"/>
                <w:szCs w:val="24"/>
                <w:lang w:eastAsia="en-US" w:bidi="ar-SA"/>
              </w:rPr>
              <w:t>Matthew Grace – Senior Intelligence Officer (Public Health)</w:t>
            </w:r>
          </w:p>
        </w:tc>
      </w:tr>
      <w:tr w:rsidR="006A7981" w:rsidRPr="006A7981" w14:paraId="62DF3098" w14:textId="77777777" w:rsidTr="00C10D4B">
        <w:trPr>
          <w:trHeight w:val="425"/>
        </w:trPr>
        <w:tc>
          <w:tcPr>
            <w:tcW w:w="2125" w:type="dxa"/>
            <w:shd w:val="clear" w:color="auto" w:fill="F2F2F2" w:themeFill="background1" w:themeFillShade="F2"/>
            <w:vAlign w:val="center"/>
          </w:tcPr>
          <w:p w14:paraId="5B2404C4" w14:textId="77777777" w:rsidR="006A7981" w:rsidRPr="00C10D4B" w:rsidRDefault="006A7981" w:rsidP="006A7981">
            <w:pPr>
              <w:rPr>
                <w:rFonts w:eastAsiaTheme="minorEastAsia"/>
                <w:sz w:val="24"/>
                <w:szCs w:val="24"/>
                <w:lang w:eastAsia="en-US" w:bidi="ar-SA"/>
              </w:rPr>
            </w:pPr>
            <w:r w:rsidRPr="00C10D4B">
              <w:rPr>
                <w:rFonts w:eastAsiaTheme="minorEastAsia"/>
                <w:sz w:val="24"/>
                <w:szCs w:val="24"/>
                <w:lang w:val="en-US" w:eastAsia="en-US" w:bidi="ar-SA"/>
              </w:rPr>
              <w:t>Authorisation for publication</w:t>
            </w:r>
          </w:p>
        </w:tc>
        <w:tc>
          <w:tcPr>
            <w:tcW w:w="7481" w:type="dxa"/>
            <w:vAlign w:val="center"/>
          </w:tcPr>
          <w:p w14:paraId="0FD7BFA1" w14:textId="1E610E06" w:rsidR="006A7981" w:rsidRPr="00C10D4B" w:rsidRDefault="00764E47" w:rsidP="006A7981">
            <w:pPr>
              <w:rPr>
                <w:rFonts w:eastAsiaTheme="minorEastAsia"/>
                <w:sz w:val="24"/>
                <w:szCs w:val="24"/>
                <w:lang w:eastAsia="en-US" w:bidi="ar-SA"/>
              </w:rPr>
            </w:pPr>
            <w:r w:rsidRPr="00C10D4B">
              <w:rPr>
                <w:rFonts w:eastAsiaTheme="minorEastAsia"/>
                <w:sz w:val="24"/>
                <w:szCs w:val="24"/>
                <w:lang w:eastAsia="en-US" w:bidi="ar-SA"/>
              </w:rPr>
              <w:t xml:space="preserve">Richard Holford – Public </w:t>
            </w:r>
            <w:r>
              <w:rPr>
                <w:rFonts w:eastAsiaTheme="minorEastAsia"/>
                <w:sz w:val="24"/>
                <w:szCs w:val="24"/>
                <w:lang w:eastAsia="en-US" w:bidi="ar-SA"/>
              </w:rPr>
              <w:t xml:space="preserve">Health Consultant </w:t>
            </w:r>
          </w:p>
        </w:tc>
      </w:tr>
      <w:tr w:rsidR="006A7981" w:rsidRPr="006A7981" w14:paraId="7CF45959" w14:textId="77777777" w:rsidTr="00C10D4B">
        <w:trPr>
          <w:trHeight w:val="425"/>
        </w:trPr>
        <w:tc>
          <w:tcPr>
            <w:tcW w:w="2125" w:type="dxa"/>
            <w:shd w:val="clear" w:color="auto" w:fill="F2F2F2" w:themeFill="background1" w:themeFillShade="F2"/>
            <w:vAlign w:val="center"/>
          </w:tcPr>
          <w:p w14:paraId="23009313" w14:textId="77777777" w:rsidR="006A7981" w:rsidRPr="00C10D4B" w:rsidRDefault="006A7981" w:rsidP="006A7981">
            <w:pPr>
              <w:rPr>
                <w:rFonts w:eastAsiaTheme="minorEastAsia"/>
                <w:sz w:val="24"/>
                <w:szCs w:val="24"/>
                <w:lang w:eastAsia="en-US" w:bidi="ar-SA"/>
              </w:rPr>
            </w:pPr>
            <w:r w:rsidRPr="00C10D4B">
              <w:rPr>
                <w:rFonts w:eastAsiaTheme="minorEastAsia"/>
                <w:sz w:val="24"/>
                <w:szCs w:val="24"/>
                <w:lang w:eastAsia="en-US" w:bidi="ar-SA"/>
              </w:rPr>
              <w:t>Contributors</w:t>
            </w:r>
          </w:p>
        </w:tc>
        <w:tc>
          <w:tcPr>
            <w:tcW w:w="7481" w:type="dxa"/>
            <w:vAlign w:val="center"/>
          </w:tcPr>
          <w:p w14:paraId="2572E106" w14:textId="77777777" w:rsidR="006A7981" w:rsidRDefault="004E5F06" w:rsidP="006A7981">
            <w:pPr>
              <w:rPr>
                <w:rFonts w:eastAsiaTheme="minorEastAsia"/>
                <w:sz w:val="24"/>
                <w:szCs w:val="24"/>
                <w:lang w:eastAsia="en-US" w:bidi="ar-SA"/>
              </w:rPr>
            </w:pPr>
            <w:r>
              <w:rPr>
                <w:rFonts w:eastAsiaTheme="minorEastAsia"/>
                <w:sz w:val="24"/>
                <w:szCs w:val="24"/>
                <w:lang w:eastAsia="en-US" w:bidi="ar-SA"/>
              </w:rPr>
              <w:t>Dr Sarah Butchard – Mersey</w:t>
            </w:r>
            <w:r w:rsidR="001C7C34">
              <w:rPr>
                <w:rFonts w:eastAsiaTheme="minorEastAsia"/>
                <w:sz w:val="24"/>
                <w:szCs w:val="24"/>
                <w:lang w:eastAsia="en-US" w:bidi="ar-SA"/>
              </w:rPr>
              <w:t xml:space="preserve"> C</w:t>
            </w:r>
            <w:r>
              <w:rPr>
                <w:rFonts w:eastAsiaTheme="minorEastAsia"/>
                <w:sz w:val="24"/>
                <w:szCs w:val="24"/>
                <w:lang w:eastAsia="en-US" w:bidi="ar-SA"/>
              </w:rPr>
              <w:t xml:space="preserve">are NHS </w:t>
            </w:r>
            <w:r w:rsidR="001C7C34">
              <w:rPr>
                <w:rFonts w:eastAsiaTheme="minorEastAsia"/>
                <w:sz w:val="24"/>
                <w:szCs w:val="24"/>
                <w:lang w:eastAsia="en-US" w:bidi="ar-SA"/>
              </w:rPr>
              <w:t>Foundation Trust</w:t>
            </w:r>
          </w:p>
          <w:p w14:paraId="5843433C" w14:textId="77777777" w:rsidR="00B70C29" w:rsidRDefault="00283F17" w:rsidP="006A7981">
            <w:pPr>
              <w:rPr>
                <w:rFonts w:eastAsiaTheme="minorEastAsia"/>
                <w:sz w:val="24"/>
                <w:szCs w:val="24"/>
                <w:lang w:eastAsia="en-US" w:bidi="ar-SA"/>
              </w:rPr>
            </w:pPr>
            <w:r>
              <w:rPr>
                <w:rFonts w:eastAsiaTheme="minorEastAsia"/>
                <w:sz w:val="24"/>
                <w:szCs w:val="24"/>
                <w:lang w:eastAsia="en-US" w:bidi="ar-SA"/>
              </w:rPr>
              <w:t>Margi Butler</w:t>
            </w:r>
            <w:r w:rsidR="0088072B">
              <w:rPr>
                <w:rFonts w:eastAsiaTheme="minorEastAsia"/>
                <w:sz w:val="24"/>
                <w:szCs w:val="24"/>
                <w:lang w:eastAsia="en-US" w:bidi="ar-SA"/>
              </w:rPr>
              <w:t xml:space="preserve"> – Cheshire and Merseyside ICB</w:t>
            </w:r>
          </w:p>
          <w:p w14:paraId="7E789631" w14:textId="3826C30D" w:rsidR="00933CB2" w:rsidRDefault="00E42081" w:rsidP="006A7981">
            <w:pPr>
              <w:rPr>
                <w:rFonts w:eastAsiaTheme="minorEastAsia"/>
                <w:sz w:val="24"/>
                <w:szCs w:val="24"/>
                <w:lang w:eastAsia="en-US" w:bidi="ar-SA"/>
              </w:rPr>
            </w:pPr>
            <w:r w:rsidRPr="00E42081">
              <w:rPr>
                <w:rFonts w:eastAsiaTheme="minorEastAsia"/>
                <w:sz w:val="24"/>
                <w:szCs w:val="24"/>
                <w:lang w:eastAsia="en-US" w:bidi="ar-SA"/>
              </w:rPr>
              <w:t>Hayley Winstanley</w:t>
            </w:r>
            <w:r>
              <w:rPr>
                <w:rFonts w:eastAsiaTheme="minorEastAsia"/>
                <w:sz w:val="24"/>
                <w:szCs w:val="24"/>
                <w:lang w:eastAsia="en-US" w:bidi="ar-SA"/>
              </w:rPr>
              <w:t xml:space="preserve"> </w:t>
            </w:r>
            <w:r w:rsidR="008070BA">
              <w:rPr>
                <w:rFonts w:eastAsiaTheme="minorEastAsia"/>
                <w:sz w:val="24"/>
                <w:szCs w:val="24"/>
                <w:lang w:eastAsia="en-US" w:bidi="ar-SA"/>
              </w:rPr>
              <w:t>–</w:t>
            </w:r>
            <w:r>
              <w:rPr>
                <w:rFonts w:eastAsiaTheme="minorEastAsia"/>
                <w:sz w:val="24"/>
                <w:szCs w:val="24"/>
                <w:lang w:eastAsia="en-US" w:bidi="ar-SA"/>
              </w:rPr>
              <w:t xml:space="preserve"> </w:t>
            </w:r>
            <w:r w:rsidR="00D713CF" w:rsidRPr="00D713CF">
              <w:rPr>
                <w:rFonts w:eastAsiaTheme="minorEastAsia"/>
                <w:sz w:val="24"/>
                <w:szCs w:val="24"/>
                <w:lang w:eastAsia="en-US" w:bidi="ar-SA"/>
              </w:rPr>
              <w:t>Alzheimer’s Society</w:t>
            </w:r>
          </w:p>
          <w:p w14:paraId="57CD2B42" w14:textId="77777777" w:rsidR="00002EC8" w:rsidRDefault="00933CB2" w:rsidP="006A7981">
            <w:pPr>
              <w:rPr>
                <w:rFonts w:eastAsiaTheme="minorEastAsia"/>
                <w:sz w:val="24"/>
                <w:szCs w:val="24"/>
                <w:lang w:eastAsia="en-US" w:bidi="ar-SA"/>
              </w:rPr>
            </w:pPr>
            <w:r>
              <w:rPr>
                <w:rFonts w:eastAsiaTheme="minorEastAsia"/>
                <w:sz w:val="24"/>
                <w:szCs w:val="24"/>
                <w:lang w:eastAsia="en-US" w:bidi="ar-SA"/>
              </w:rPr>
              <w:t>Healthwatch Knowsley</w:t>
            </w:r>
          </w:p>
          <w:p w14:paraId="59070269" w14:textId="7AB26848" w:rsidR="004405BF" w:rsidRPr="00C10D4B" w:rsidRDefault="004405BF" w:rsidP="006A7981">
            <w:pPr>
              <w:rPr>
                <w:rFonts w:eastAsiaTheme="minorEastAsia"/>
                <w:sz w:val="24"/>
                <w:szCs w:val="24"/>
                <w:lang w:eastAsia="en-US" w:bidi="ar-SA"/>
              </w:rPr>
            </w:pPr>
            <w:r>
              <w:rPr>
                <w:rFonts w:eastAsiaTheme="minorEastAsia"/>
                <w:sz w:val="24"/>
                <w:szCs w:val="24"/>
                <w:lang w:eastAsia="en-US" w:bidi="ar-SA"/>
              </w:rPr>
              <w:t xml:space="preserve">Clare Taylorson – </w:t>
            </w:r>
            <w:r w:rsidR="004D0703">
              <w:rPr>
                <w:rFonts w:eastAsiaTheme="minorEastAsia"/>
                <w:sz w:val="24"/>
                <w:szCs w:val="24"/>
                <w:lang w:eastAsia="en-US" w:bidi="ar-SA"/>
              </w:rPr>
              <w:t>Policy</w:t>
            </w:r>
            <w:r>
              <w:rPr>
                <w:rFonts w:eastAsiaTheme="minorEastAsia"/>
                <w:sz w:val="24"/>
                <w:szCs w:val="24"/>
                <w:lang w:eastAsia="en-US" w:bidi="ar-SA"/>
              </w:rPr>
              <w:t xml:space="preserve"> and Research Officer</w:t>
            </w:r>
          </w:p>
        </w:tc>
      </w:tr>
      <w:tr w:rsidR="006A7981" w:rsidRPr="006A7981" w14:paraId="7E69B4BC" w14:textId="77777777" w:rsidTr="00C10D4B">
        <w:trPr>
          <w:trHeight w:val="425"/>
        </w:trPr>
        <w:tc>
          <w:tcPr>
            <w:tcW w:w="2125" w:type="dxa"/>
            <w:shd w:val="clear" w:color="auto" w:fill="F2F2F2" w:themeFill="background1" w:themeFillShade="F2"/>
            <w:vAlign w:val="center"/>
          </w:tcPr>
          <w:p w14:paraId="4514980E" w14:textId="77777777" w:rsidR="006A7981" w:rsidRPr="00C10D4B" w:rsidRDefault="006A7981" w:rsidP="006A7981">
            <w:pPr>
              <w:rPr>
                <w:rFonts w:eastAsiaTheme="minorEastAsia"/>
                <w:sz w:val="24"/>
                <w:szCs w:val="24"/>
                <w:lang w:eastAsia="en-US" w:bidi="ar-SA"/>
              </w:rPr>
            </w:pPr>
            <w:r w:rsidRPr="00C10D4B">
              <w:rPr>
                <w:rFonts w:eastAsiaTheme="minorEastAsia"/>
                <w:sz w:val="24"/>
                <w:szCs w:val="24"/>
                <w:lang w:eastAsia="en-US" w:bidi="ar-SA"/>
              </w:rPr>
              <w:t>Pages</w:t>
            </w:r>
          </w:p>
        </w:tc>
        <w:tc>
          <w:tcPr>
            <w:tcW w:w="7481" w:type="dxa"/>
            <w:vAlign w:val="center"/>
          </w:tcPr>
          <w:p w14:paraId="421A1A24" w14:textId="19070819" w:rsidR="006A7981" w:rsidRPr="00C10D4B" w:rsidRDefault="00727AC4" w:rsidP="006A7981">
            <w:pPr>
              <w:rPr>
                <w:rFonts w:eastAsiaTheme="minorEastAsia"/>
                <w:sz w:val="24"/>
                <w:szCs w:val="24"/>
                <w:lang w:eastAsia="en-US" w:bidi="ar-SA"/>
              </w:rPr>
            </w:pPr>
            <w:r>
              <w:rPr>
                <w:rFonts w:eastAsiaTheme="minorEastAsia"/>
                <w:sz w:val="24"/>
                <w:szCs w:val="24"/>
                <w:lang w:eastAsia="en-US" w:bidi="ar-SA"/>
              </w:rPr>
              <w:t>2</w:t>
            </w:r>
            <w:r w:rsidR="008C124D">
              <w:rPr>
                <w:rFonts w:eastAsiaTheme="minorEastAsia"/>
                <w:sz w:val="24"/>
                <w:szCs w:val="24"/>
                <w:lang w:eastAsia="en-US" w:bidi="ar-SA"/>
              </w:rPr>
              <w:t>9</w:t>
            </w:r>
          </w:p>
        </w:tc>
      </w:tr>
      <w:tr w:rsidR="006A7981" w:rsidRPr="006A7981" w14:paraId="5E5D2266" w14:textId="77777777" w:rsidTr="00C10D4B">
        <w:trPr>
          <w:trHeight w:val="425"/>
        </w:trPr>
        <w:tc>
          <w:tcPr>
            <w:tcW w:w="2125" w:type="dxa"/>
            <w:shd w:val="clear" w:color="auto" w:fill="F2F2F2" w:themeFill="background1" w:themeFillShade="F2"/>
            <w:vAlign w:val="center"/>
          </w:tcPr>
          <w:p w14:paraId="38479273" w14:textId="77777777" w:rsidR="006A7981" w:rsidRPr="00C10D4B" w:rsidRDefault="006A7981" w:rsidP="006A7981">
            <w:pPr>
              <w:rPr>
                <w:rFonts w:eastAsiaTheme="minorEastAsia"/>
                <w:sz w:val="24"/>
                <w:szCs w:val="24"/>
                <w:lang w:eastAsia="en-US" w:bidi="ar-SA"/>
              </w:rPr>
            </w:pPr>
            <w:r w:rsidRPr="00C10D4B">
              <w:rPr>
                <w:rFonts w:eastAsiaTheme="minorEastAsia"/>
                <w:sz w:val="24"/>
                <w:szCs w:val="24"/>
                <w:lang w:eastAsia="en-US" w:bidi="ar-SA"/>
              </w:rPr>
              <w:t>Date of Release</w:t>
            </w:r>
          </w:p>
        </w:tc>
        <w:tc>
          <w:tcPr>
            <w:tcW w:w="7481" w:type="dxa"/>
            <w:vAlign w:val="center"/>
          </w:tcPr>
          <w:p w14:paraId="2CCA0CE3" w14:textId="535D62AD" w:rsidR="006A7981" w:rsidRPr="00C10D4B" w:rsidRDefault="000C6BE0" w:rsidP="006A7981">
            <w:pPr>
              <w:rPr>
                <w:rFonts w:eastAsiaTheme="minorEastAsia"/>
                <w:sz w:val="24"/>
                <w:szCs w:val="24"/>
                <w:highlight w:val="yellow"/>
                <w:lang w:eastAsia="en-US" w:bidi="ar-SA"/>
              </w:rPr>
            </w:pPr>
            <w:r>
              <w:rPr>
                <w:rFonts w:eastAsiaTheme="minorEastAsia"/>
                <w:sz w:val="24"/>
                <w:szCs w:val="24"/>
                <w:lang w:eastAsia="en-US" w:bidi="ar-SA"/>
              </w:rPr>
              <w:t>August</w:t>
            </w:r>
            <w:r w:rsidR="00764E47">
              <w:rPr>
                <w:rFonts w:eastAsiaTheme="minorEastAsia"/>
                <w:sz w:val="24"/>
                <w:szCs w:val="24"/>
                <w:lang w:eastAsia="en-US" w:bidi="ar-SA"/>
              </w:rPr>
              <w:t xml:space="preserve"> </w:t>
            </w:r>
            <w:r w:rsidR="006A7981" w:rsidRPr="00C10D4B">
              <w:rPr>
                <w:rFonts w:eastAsiaTheme="minorEastAsia"/>
                <w:sz w:val="24"/>
                <w:szCs w:val="24"/>
                <w:lang w:eastAsia="en-US" w:bidi="ar-SA"/>
              </w:rPr>
              <w:t>20</w:t>
            </w:r>
            <w:r w:rsidR="00385802">
              <w:rPr>
                <w:rFonts w:eastAsiaTheme="minorEastAsia"/>
                <w:sz w:val="24"/>
                <w:szCs w:val="24"/>
                <w:lang w:eastAsia="en-US" w:bidi="ar-SA"/>
              </w:rPr>
              <w:t>2</w:t>
            </w:r>
            <w:r w:rsidR="00FB1AC9">
              <w:rPr>
                <w:rFonts w:eastAsiaTheme="minorEastAsia"/>
                <w:sz w:val="24"/>
                <w:szCs w:val="24"/>
                <w:lang w:eastAsia="en-US" w:bidi="ar-SA"/>
              </w:rPr>
              <w:t>6</w:t>
            </w:r>
          </w:p>
        </w:tc>
      </w:tr>
      <w:tr w:rsidR="006A7981" w:rsidRPr="006A7981" w14:paraId="1DBE5E72" w14:textId="77777777" w:rsidTr="00C10D4B">
        <w:trPr>
          <w:trHeight w:val="425"/>
        </w:trPr>
        <w:tc>
          <w:tcPr>
            <w:tcW w:w="2125" w:type="dxa"/>
            <w:shd w:val="clear" w:color="auto" w:fill="F2F2F2" w:themeFill="background1" w:themeFillShade="F2"/>
            <w:vAlign w:val="center"/>
          </w:tcPr>
          <w:p w14:paraId="35FD9D43" w14:textId="77777777" w:rsidR="006A7981" w:rsidRPr="00C10D4B" w:rsidRDefault="006A7981" w:rsidP="006A7981">
            <w:pPr>
              <w:rPr>
                <w:rFonts w:eastAsiaTheme="minorEastAsia"/>
                <w:sz w:val="24"/>
                <w:szCs w:val="24"/>
                <w:lang w:eastAsia="en-US" w:bidi="ar-SA"/>
              </w:rPr>
            </w:pPr>
            <w:r w:rsidRPr="00C10D4B">
              <w:rPr>
                <w:rFonts w:eastAsiaTheme="minorEastAsia"/>
                <w:sz w:val="24"/>
                <w:szCs w:val="24"/>
                <w:lang w:eastAsia="en-US" w:bidi="ar-SA"/>
              </w:rPr>
              <w:t>Review Date</w:t>
            </w:r>
          </w:p>
        </w:tc>
        <w:tc>
          <w:tcPr>
            <w:tcW w:w="7481" w:type="dxa"/>
            <w:vAlign w:val="center"/>
          </w:tcPr>
          <w:p w14:paraId="5D86F6FE" w14:textId="3F876AC3" w:rsidR="006A7981" w:rsidRPr="00C10D4B" w:rsidRDefault="000C6BE0" w:rsidP="006A7981">
            <w:pPr>
              <w:rPr>
                <w:rFonts w:eastAsiaTheme="minorEastAsia"/>
                <w:sz w:val="24"/>
                <w:szCs w:val="24"/>
                <w:lang w:eastAsia="en-US" w:bidi="ar-SA"/>
              </w:rPr>
            </w:pPr>
            <w:r>
              <w:rPr>
                <w:rFonts w:eastAsiaTheme="minorEastAsia"/>
                <w:sz w:val="24"/>
                <w:szCs w:val="24"/>
                <w:lang w:eastAsia="en-US" w:bidi="ar-SA"/>
              </w:rPr>
              <w:t>August</w:t>
            </w:r>
            <w:r w:rsidR="00764E47">
              <w:rPr>
                <w:rFonts w:eastAsiaTheme="minorEastAsia"/>
                <w:sz w:val="24"/>
                <w:szCs w:val="24"/>
                <w:lang w:eastAsia="en-US" w:bidi="ar-SA"/>
              </w:rPr>
              <w:t xml:space="preserve"> </w:t>
            </w:r>
            <w:r w:rsidR="00385802">
              <w:rPr>
                <w:rFonts w:eastAsiaTheme="minorEastAsia"/>
                <w:sz w:val="24"/>
                <w:szCs w:val="24"/>
                <w:lang w:eastAsia="en-US" w:bidi="ar-SA"/>
              </w:rPr>
              <w:t>202</w:t>
            </w:r>
            <w:r w:rsidR="00446B79">
              <w:rPr>
                <w:rFonts w:eastAsiaTheme="minorEastAsia"/>
                <w:sz w:val="24"/>
                <w:szCs w:val="24"/>
                <w:lang w:eastAsia="en-US" w:bidi="ar-SA"/>
              </w:rPr>
              <w:t>8</w:t>
            </w:r>
          </w:p>
        </w:tc>
      </w:tr>
      <w:tr w:rsidR="006A7981" w:rsidRPr="006A7981" w14:paraId="35F7A898" w14:textId="77777777" w:rsidTr="00C10D4B">
        <w:trPr>
          <w:trHeight w:val="1304"/>
        </w:trPr>
        <w:tc>
          <w:tcPr>
            <w:tcW w:w="2125" w:type="dxa"/>
            <w:shd w:val="clear" w:color="auto" w:fill="F2F2F2" w:themeFill="background1" w:themeFillShade="F2"/>
            <w:vAlign w:val="center"/>
          </w:tcPr>
          <w:p w14:paraId="2B39EBAB" w14:textId="77777777" w:rsidR="006A7981" w:rsidRPr="00C10D4B" w:rsidRDefault="006A7981" w:rsidP="006A7981">
            <w:pPr>
              <w:rPr>
                <w:rFonts w:eastAsiaTheme="minorEastAsia"/>
                <w:sz w:val="24"/>
                <w:szCs w:val="24"/>
                <w:lang w:eastAsia="en-US" w:bidi="ar-SA"/>
              </w:rPr>
            </w:pPr>
            <w:r w:rsidRPr="00C10D4B">
              <w:rPr>
                <w:rFonts w:eastAsiaTheme="minorEastAsia"/>
                <w:sz w:val="24"/>
                <w:szCs w:val="24"/>
                <w:lang w:eastAsia="en-US" w:bidi="ar-SA"/>
              </w:rPr>
              <w:t>Description</w:t>
            </w:r>
          </w:p>
        </w:tc>
        <w:tc>
          <w:tcPr>
            <w:tcW w:w="7481" w:type="dxa"/>
            <w:vAlign w:val="center"/>
          </w:tcPr>
          <w:p w14:paraId="6812D80F" w14:textId="0C8ACFA8" w:rsidR="006A7981" w:rsidRPr="00C10D4B" w:rsidRDefault="006A7981" w:rsidP="006A7981">
            <w:pPr>
              <w:jc w:val="both"/>
              <w:rPr>
                <w:rFonts w:eastAsiaTheme="minorEastAsia"/>
                <w:sz w:val="24"/>
                <w:szCs w:val="24"/>
                <w:lang w:eastAsia="en-US" w:bidi="ar-SA"/>
              </w:rPr>
            </w:pPr>
            <w:r w:rsidRPr="00C10D4B">
              <w:rPr>
                <w:rFonts w:eastAsiaTheme="minorEastAsia"/>
                <w:sz w:val="24"/>
                <w:szCs w:val="24"/>
                <w:lang w:eastAsia="en-US" w:bidi="ar-SA"/>
              </w:rPr>
              <w:t xml:space="preserve">One of a number of topic based reports contained within the Lifestyles theme of the Joint Strategic Needs Assessment.  The report contains latest intelligence about </w:t>
            </w:r>
            <w:r w:rsidR="000E2CE2">
              <w:rPr>
                <w:rFonts w:eastAsiaTheme="minorEastAsia"/>
                <w:sz w:val="24"/>
                <w:szCs w:val="24"/>
                <w:lang w:eastAsia="en-US" w:bidi="ar-SA"/>
              </w:rPr>
              <w:t>Dementia</w:t>
            </w:r>
            <w:r w:rsidRPr="00C10D4B">
              <w:rPr>
                <w:rFonts w:eastAsiaTheme="minorEastAsia"/>
                <w:sz w:val="24"/>
                <w:szCs w:val="24"/>
                <w:lang w:eastAsia="en-US" w:bidi="ar-SA"/>
              </w:rPr>
              <w:t>, the policy context (local and national), local</w:t>
            </w:r>
            <w:r w:rsidR="000E2CE2">
              <w:rPr>
                <w:rFonts w:eastAsiaTheme="minorEastAsia"/>
                <w:sz w:val="24"/>
                <w:szCs w:val="24"/>
                <w:lang w:eastAsia="en-US" w:bidi="ar-SA"/>
              </w:rPr>
              <w:t xml:space="preserve"> </w:t>
            </w:r>
            <w:r w:rsidRPr="00C10D4B">
              <w:rPr>
                <w:rFonts w:eastAsiaTheme="minorEastAsia"/>
                <w:sz w:val="24"/>
                <w:szCs w:val="24"/>
                <w:lang w:eastAsia="en-US" w:bidi="ar-SA"/>
              </w:rPr>
              <w:t>services, evidence of what works and local engagement.</w:t>
            </w:r>
          </w:p>
        </w:tc>
      </w:tr>
      <w:tr w:rsidR="006A7981" w:rsidRPr="006A7981" w14:paraId="0738511C" w14:textId="77777777" w:rsidTr="00C10D4B">
        <w:trPr>
          <w:trHeight w:val="425"/>
        </w:trPr>
        <w:tc>
          <w:tcPr>
            <w:tcW w:w="2125" w:type="dxa"/>
            <w:shd w:val="clear" w:color="auto" w:fill="F2F2F2" w:themeFill="background1" w:themeFillShade="F2"/>
            <w:vAlign w:val="center"/>
          </w:tcPr>
          <w:p w14:paraId="790B8D55" w14:textId="77777777" w:rsidR="006A7981" w:rsidRPr="00C10D4B" w:rsidRDefault="006A7981" w:rsidP="006A7981">
            <w:pPr>
              <w:rPr>
                <w:rFonts w:eastAsiaTheme="minorEastAsia"/>
                <w:sz w:val="24"/>
                <w:szCs w:val="24"/>
                <w:lang w:eastAsia="en-US" w:bidi="ar-SA"/>
              </w:rPr>
            </w:pPr>
            <w:r w:rsidRPr="00C10D4B">
              <w:rPr>
                <w:rFonts w:eastAsiaTheme="minorEastAsia"/>
                <w:sz w:val="24"/>
                <w:szCs w:val="24"/>
                <w:lang w:eastAsia="en-US" w:bidi="ar-SA"/>
              </w:rPr>
              <w:t>Superseded Documents</w:t>
            </w:r>
          </w:p>
        </w:tc>
        <w:tc>
          <w:tcPr>
            <w:tcW w:w="7481" w:type="dxa"/>
            <w:vAlign w:val="center"/>
          </w:tcPr>
          <w:p w14:paraId="4B39E5F9" w14:textId="62E2817E" w:rsidR="006A7981" w:rsidRPr="00C10D4B" w:rsidRDefault="005D456D" w:rsidP="006A7981">
            <w:pPr>
              <w:rPr>
                <w:rFonts w:eastAsiaTheme="minorEastAsia"/>
                <w:sz w:val="24"/>
                <w:szCs w:val="24"/>
                <w:lang w:eastAsia="en-US" w:bidi="ar-SA"/>
              </w:rPr>
            </w:pPr>
            <w:r>
              <w:rPr>
                <w:rFonts w:eastAsiaTheme="minorEastAsia"/>
                <w:sz w:val="24"/>
                <w:szCs w:val="24"/>
                <w:lang w:eastAsia="en-US" w:bidi="ar-SA"/>
              </w:rPr>
              <w:t>‘</w:t>
            </w:r>
            <w:r w:rsidR="00DD0BB5" w:rsidRPr="00C10D4B">
              <w:rPr>
                <w:rFonts w:eastAsiaTheme="minorEastAsia"/>
                <w:sz w:val="24"/>
                <w:szCs w:val="24"/>
                <w:lang w:eastAsia="en-US" w:bidi="ar-SA"/>
              </w:rPr>
              <w:t>Dementia JSNA Report’</w:t>
            </w:r>
            <w:r w:rsidR="006A7981" w:rsidRPr="00C10D4B">
              <w:rPr>
                <w:rFonts w:eastAsiaTheme="minorEastAsia"/>
                <w:sz w:val="24"/>
                <w:szCs w:val="24"/>
                <w:lang w:eastAsia="en-US" w:bidi="ar-SA"/>
              </w:rPr>
              <w:t>, 201</w:t>
            </w:r>
            <w:r w:rsidR="00DD0BB5">
              <w:rPr>
                <w:rFonts w:eastAsiaTheme="minorEastAsia"/>
                <w:sz w:val="24"/>
                <w:szCs w:val="24"/>
                <w:lang w:eastAsia="en-US" w:bidi="ar-SA"/>
              </w:rPr>
              <w:t>6</w:t>
            </w:r>
          </w:p>
        </w:tc>
      </w:tr>
      <w:tr w:rsidR="006A7981" w:rsidRPr="006A7981" w14:paraId="10B3C883" w14:textId="77777777" w:rsidTr="00C10D4B">
        <w:trPr>
          <w:trHeight w:val="425"/>
        </w:trPr>
        <w:tc>
          <w:tcPr>
            <w:tcW w:w="2125" w:type="dxa"/>
            <w:shd w:val="clear" w:color="auto" w:fill="F2F2F2" w:themeFill="background1" w:themeFillShade="F2"/>
            <w:vAlign w:val="center"/>
          </w:tcPr>
          <w:p w14:paraId="168C55DF" w14:textId="77777777" w:rsidR="006A7981" w:rsidRPr="00C10D4B" w:rsidRDefault="006A7981" w:rsidP="006A7981">
            <w:pPr>
              <w:rPr>
                <w:rFonts w:eastAsiaTheme="minorEastAsia"/>
                <w:sz w:val="24"/>
                <w:szCs w:val="24"/>
                <w:lang w:eastAsia="en-US" w:bidi="ar-SA"/>
              </w:rPr>
            </w:pPr>
            <w:r w:rsidRPr="00C10D4B">
              <w:rPr>
                <w:rFonts w:eastAsiaTheme="minorEastAsia"/>
                <w:sz w:val="24"/>
                <w:szCs w:val="24"/>
                <w:lang w:eastAsia="en-US" w:bidi="ar-SA"/>
              </w:rPr>
              <w:t>Contact Details</w:t>
            </w:r>
          </w:p>
        </w:tc>
        <w:tc>
          <w:tcPr>
            <w:tcW w:w="7481" w:type="dxa"/>
            <w:vAlign w:val="center"/>
          </w:tcPr>
          <w:p w14:paraId="20C7166B" w14:textId="77777777" w:rsidR="006A7981" w:rsidRPr="00C10D4B" w:rsidRDefault="00C30297" w:rsidP="006A7981">
            <w:pPr>
              <w:rPr>
                <w:rFonts w:eastAsiaTheme="minorEastAsia"/>
                <w:sz w:val="24"/>
                <w:szCs w:val="24"/>
                <w:lang w:eastAsia="en-US" w:bidi="ar-SA"/>
              </w:rPr>
            </w:pPr>
            <w:r w:rsidRPr="00C10D4B">
              <w:rPr>
                <w:rFonts w:eastAsiaTheme="minorEastAsia"/>
                <w:sz w:val="24"/>
                <w:szCs w:val="24"/>
                <w:lang w:eastAsia="en-US" w:bidi="ar-SA"/>
              </w:rPr>
              <w:t>matthew.grace@knowsley.gov.uk</w:t>
            </w:r>
          </w:p>
        </w:tc>
      </w:tr>
      <w:tr w:rsidR="006A7981" w:rsidRPr="006A7981" w14:paraId="45F79DA9" w14:textId="77777777" w:rsidTr="00C10D4B">
        <w:trPr>
          <w:trHeight w:val="425"/>
        </w:trPr>
        <w:tc>
          <w:tcPr>
            <w:tcW w:w="2125" w:type="dxa"/>
            <w:shd w:val="clear" w:color="auto" w:fill="F2F2F2" w:themeFill="background1" w:themeFillShade="F2"/>
            <w:vAlign w:val="center"/>
          </w:tcPr>
          <w:p w14:paraId="5C20018F" w14:textId="77777777" w:rsidR="006A7981" w:rsidRPr="00C10D4B" w:rsidRDefault="006A7981" w:rsidP="006A7981">
            <w:pPr>
              <w:rPr>
                <w:rFonts w:eastAsiaTheme="minorEastAsia"/>
                <w:sz w:val="24"/>
                <w:szCs w:val="24"/>
                <w:lang w:eastAsia="en-US" w:bidi="ar-SA"/>
              </w:rPr>
            </w:pPr>
            <w:r w:rsidRPr="00C10D4B">
              <w:rPr>
                <w:rFonts w:eastAsiaTheme="minorEastAsia"/>
                <w:sz w:val="24"/>
                <w:szCs w:val="24"/>
                <w:lang w:eastAsia="en-US" w:bidi="ar-SA"/>
              </w:rPr>
              <w:t>Website</w:t>
            </w:r>
          </w:p>
        </w:tc>
        <w:tc>
          <w:tcPr>
            <w:tcW w:w="7481" w:type="dxa"/>
            <w:vAlign w:val="center"/>
          </w:tcPr>
          <w:p w14:paraId="52E8BF16" w14:textId="0498FCA9" w:rsidR="006A7981" w:rsidRPr="00C10D4B" w:rsidRDefault="000D2A1C" w:rsidP="006A7981">
            <w:pPr>
              <w:rPr>
                <w:rFonts w:eastAsiaTheme="minorEastAsia"/>
                <w:sz w:val="24"/>
                <w:szCs w:val="24"/>
                <w:lang w:eastAsia="en-US" w:bidi="ar-SA"/>
              </w:rPr>
            </w:pPr>
            <w:hyperlink r:id="rId14" w:history="1">
              <w:r w:rsidRPr="000D2A1C">
                <w:rPr>
                  <w:rStyle w:val="Hyperlink"/>
                </w:rPr>
                <w:t>Knowsley JSNA - Knowsley Kno</w:t>
              </w:r>
              <w:r w:rsidRPr="000D2A1C">
                <w:rPr>
                  <w:rStyle w:val="Hyperlink"/>
                </w:rPr>
                <w:t>w</w:t>
              </w:r>
              <w:r w:rsidRPr="000D2A1C">
                <w:rPr>
                  <w:rStyle w:val="Hyperlink"/>
                </w:rPr>
                <w:t>ledge</w:t>
              </w:r>
            </w:hyperlink>
          </w:p>
        </w:tc>
      </w:tr>
    </w:tbl>
    <w:p w14:paraId="0742982D" w14:textId="77777777" w:rsidR="00520ADE" w:rsidRDefault="00520ADE">
      <w:pPr>
        <w:jc w:val="both"/>
        <w:rPr>
          <w:sz w:val="24"/>
        </w:rPr>
      </w:pPr>
    </w:p>
    <w:p w14:paraId="20D4B644" w14:textId="77777777" w:rsidR="00934F97" w:rsidRDefault="00934F97">
      <w:pPr>
        <w:jc w:val="both"/>
        <w:rPr>
          <w:sz w:val="24"/>
        </w:rPr>
        <w:sectPr w:rsidR="00934F97">
          <w:pgSz w:w="11910" w:h="16840"/>
          <w:pgMar w:top="1340" w:right="0" w:bottom="920" w:left="1300" w:header="708" w:footer="734" w:gutter="0"/>
          <w:cols w:space="720"/>
        </w:sectPr>
      </w:pPr>
    </w:p>
    <w:sdt>
      <w:sdtPr>
        <w:rPr>
          <w:rFonts w:ascii="Arial" w:eastAsia="Arial" w:hAnsi="Arial" w:cs="Arial"/>
          <w:b w:val="0"/>
          <w:bCs w:val="0"/>
          <w:color w:val="auto"/>
          <w:sz w:val="22"/>
          <w:szCs w:val="22"/>
          <w:lang w:val="en-GB" w:eastAsia="en-GB" w:bidi="en-GB"/>
        </w:rPr>
        <w:id w:val="-1112585593"/>
        <w:docPartObj>
          <w:docPartGallery w:val="Table of Contents"/>
          <w:docPartUnique/>
        </w:docPartObj>
      </w:sdtPr>
      <w:sdtEndPr>
        <w:rPr>
          <w:noProof/>
        </w:rPr>
      </w:sdtEndPr>
      <w:sdtContent>
        <w:p w14:paraId="32A0E492" w14:textId="2D93B258" w:rsidR="002939F6" w:rsidRDefault="002939F6" w:rsidP="00E636F5">
          <w:pPr>
            <w:pStyle w:val="TOCHeading"/>
            <w:spacing w:before="0"/>
          </w:pPr>
          <w:r>
            <w:t>Contents</w:t>
          </w:r>
        </w:p>
        <w:p w14:paraId="18DE2AAF" w14:textId="7451C463" w:rsidR="001B0222" w:rsidRDefault="0055687B">
          <w:pPr>
            <w:pStyle w:val="TOC1"/>
            <w:tabs>
              <w:tab w:val="left" w:pos="660"/>
              <w:tab w:val="right" w:pos="10600"/>
            </w:tabs>
            <w:rPr>
              <w:rFonts w:eastAsiaTheme="minorEastAsia" w:cstheme="minorBidi"/>
              <w:b w:val="0"/>
              <w:bCs w:val="0"/>
              <w:noProof/>
              <w:kern w:val="2"/>
              <w:sz w:val="24"/>
              <w:szCs w:val="24"/>
              <w:lang w:bidi="ar-SA"/>
              <w14:ligatures w14:val="standardContextual"/>
            </w:rPr>
          </w:pPr>
          <w:r>
            <w:rPr>
              <w:b w:val="0"/>
              <w:bCs w:val="0"/>
            </w:rPr>
            <w:fldChar w:fldCharType="begin"/>
          </w:r>
          <w:r>
            <w:rPr>
              <w:b w:val="0"/>
              <w:bCs w:val="0"/>
            </w:rPr>
            <w:instrText xml:space="preserve"> TOC \o "1-3" \p " " \h \z \u </w:instrText>
          </w:r>
          <w:r>
            <w:rPr>
              <w:b w:val="0"/>
              <w:bCs w:val="0"/>
            </w:rPr>
            <w:fldChar w:fldCharType="separate"/>
          </w:r>
          <w:hyperlink w:anchor="_Toc236218939" w:history="1">
            <w:r w:rsidR="001B0222" w:rsidRPr="00D45B2C">
              <w:rPr>
                <w:rStyle w:val="Hyperlink"/>
                <w:noProof/>
              </w:rPr>
              <w:t>1.0</w:t>
            </w:r>
            <w:r w:rsidR="001B0222">
              <w:rPr>
                <w:rFonts w:eastAsiaTheme="minorEastAsia" w:cstheme="minorBidi"/>
                <w:b w:val="0"/>
                <w:bCs w:val="0"/>
                <w:noProof/>
                <w:kern w:val="2"/>
                <w:sz w:val="24"/>
                <w:szCs w:val="24"/>
                <w:lang w:bidi="ar-SA"/>
                <w14:ligatures w14:val="standardContextual"/>
              </w:rPr>
              <w:tab/>
            </w:r>
            <w:r w:rsidR="001B0222" w:rsidRPr="00D45B2C">
              <w:rPr>
                <w:rStyle w:val="Hyperlink"/>
                <w:noProof/>
              </w:rPr>
              <w:t>INTRODUCTION</w:t>
            </w:r>
            <w:r w:rsidR="001B0222" w:rsidRPr="00D45B2C">
              <w:rPr>
                <w:rStyle w:val="Hyperlink"/>
                <w:noProof/>
                <w:spacing w:val="82"/>
              </w:rPr>
              <w:t xml:space="preserve"> </w:t>
            </w:r>
            <w:r w:rsidR="001B0222" w:rsidRPr="00D45B2C">
              <w:rPr>
                <w:rStyle w:val="Hyperlink"/>
                <w:noProof/>
              </w:rPr>
              <w:t>TO</w:t>
            </w:r>
            <w:r w:rsidR="001B0222" w:rsidRPr="00D45B2C">
              <w:rPr>
                <w:rStyle w:val="Hyperlink"/>
                <w:noProof/>
                <w:spacing w:val="78"/>
              </w:rPr>
              <w:t xml:space="preserve"> </w:t>
            </w:r>
            <w:r w:rsidR="001B0222" w:rsidRPr="00D45B2C">
              <w:rPr>
                <w:rStyle w:val="Hyperlink"/>
                <w:noProof/>
              </w:rPr>
              <w:t>DEMENTIA</w:t>
            </w:r>
            <w:r w:rsidR="001B0222">
              <w:rPr>
                <w:noProof/>
                <w:webHidden/>
              </w:rPr>
              <w:t xml:space="preserve"> </w:t>
            </w:r>
            <w:r w:rsidR="001B0222">
              <w:rPr>
                <w:noProof/>
                <w:webHidden/>
              </w:rPr>
              <w:fldChar w:fldCharType="begin"/>
            </w:r>
            <w:r w:rsidR="001B0222">
              <w:rPr>
                <w:noProof/>
                <w:webHidden/>
              </w:rPr>
              <w:instrText xml:space="preserve"> PAGEREF _Toc236218939 \h </w:instrText>
            </w:r>
            <w:r w:rsidR="001B0222">
              <w:rPr>
                <w:noProof/>
                <w:webHidden/>
              </w:rPr>
            </w:r>
            <w:r w:rsidR="001B0222">
              <w:rPr>
                <w:noProof/>
                <w:webHidden/>
              </w:rPr>
              <w:fldChar w:fldCharType="separate"/>
            </w:r>
            <w:r w:rsidR="00E636F5">
              <w:rPr>
                <w:noProof/>
                <w:webHidden/>
              </w:rPr>
              <w:t>4</w:t>
            </w:r>
            <w:r w:rsidR="001B0222">
              <w:rPr>
                <w:noProof/>
                <w:webHidden/>
              </w:rPr>
              <w:fldChar w:fldCharType="end"/>
            </w:r>
          </w:hyperlink>
        </w:p>
        <w:p w14:paraId="1E184A40" w14:textId="05115768" w:rsidR="001B0222" w:rsidRDefault="001B0222" w:rsidP="00E636F5">
          <w:pPr>
            <w:pStyle w:val="TOC2"/>
            <w:tabs>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40" w:history="1">
            <w:r w:rsidRPr="00D45B2C">
              <w:rPr>
                <w:rStyle w:val="Hyperlink"/>
                <w:noProof/>
              </w:rPr>
              <w:t>1.1 Types and causes of Dementia</w:t>
            </w:r>
            <w:r>
              <w:rPr>
                <w:noProof/>
                <w:webHidden/>
              </w:rPr>
              <w:t xml:space="preserve"> </w:t>
            </w:r>
            <w:r>
              <w:rPr>
                <w:noProof/>
                <w:webHidden/>
              </w:rPr>
              <w:fldChar w:fldCharType="begin"/>
            </w:r>
            <w:r>
              <w:rPr>
                <w:noProof/>
                <w:webHidden/>
              </w:rPr>
              <w:instrText xml:space="preserve"> PAGEREF _Toc236218940 \h </w:instrText>
            </w:r>
            <w:r>
              <w:rPr>
                <w:noProof/>
                <w:webHidden/>
              </w:rPr>
            </w:r>
            <w:r>
              <w:rPr>
                <w:noProof/>
                <w:webHidden/>
              </w:rPr>
              <w:fldChar w:fldCharType="separate"/>
            </w:r>
            <w:r w:rsidR="00E636F5">
              <w:rPr>
                <w:noProof/>
                <w:webHidden/>
              </w:rPr>
              <w:t>4</w:t>
            </w:r>
            <w:r>
              <w:rPr>
                <w:noProof/>
                <w:webHidden/>
              </w:rPr>
              <w:fldChar w:fldCharType="end"/>
            </w:r>
          </w:hyperlink>
        </w:p>
        <w:p w14:paraId="24E54874" w14:textId="55932619"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41" w:history="1">
            <w:r w:rsidRPr="00D45B2C">
              <w:rPr>
                <w:rStyle w:val="Hyperlink"/>
                <w:noProof/>
              </w:rPr>
              <w:t>1.2</w:t>
            </w:r>
            <w:r>
              <w:rPr>
                <w:rFonts w:eastAsiaTheme="minorEastAsia" w:cstheme="minorBidi"/>
                <w:i w:val="0"/>
                <w:iCs w:val="0"/>
                <w:noProof/>
                <w:kern w:val="2"/>
                <w:sz w:val="24"/>
                <w:szCs w:val="24"/>
                <w:lang w:bidi="ar-SA"/>
                <w14:ligatures w14:val="standardContextual"/>
              </w:rPr>
              <w:tab/>
            </w:r>
            <w:r w:rsidRPr="00D45B2C">
              <w:rPr>
                <w:rStyle w:val="Hyperlink"/>
                <w:noProof/>
              </w:rPr>
              <w:t>Diagnosing dementia</w:t>
            </w:r>
            <w:r>
              <w:rPr>
                <w:noProof/>
                <w:webHidden/>
              </w:rPr>
              <w:t xml:space="preserve"> </w:t>
            </w:r>
            <w:r>
              <w:rPr>
                <w:noProof/>
                <w:webHidden/>
              </w:rPr>
              <w:fldChar w:fldCharType="begin"/>
            </w:r>
            <w:r>
              <w:rPr>
                <w:noProof/>
                <w:webHidden/>
              </w:rPr>
              <w:instrText xml:space="preserve"> PAGEREF _Toc236218941 \h </w:instrText>
            </w:r>
            <w:r>
              <w:rPr>
                <w:noProof/>
                <w:webHidden/>
              </w:rPr>
            </w:r>
            <w:r>
              <w:rPr>
                <w:noProof/>
                <w:webHidden/>
              </w:rPr>
              <w:fldChar w:fldCharType="separate"/>
            </w:r>
            <w:r w:rsidR="00E636F5">
              <w:rPr>
                <w:noProof/>
                <w:webHidden/>
              </w:rPr>
              <w:t>5</w:t>
            </w:r>
            <w:r>
              <w:rPr>
                <w:noProof/>
                <w:webHidden/>
              </w:rPr>
              <w:fldChar w:fldCharType="end"/>
            </w:r>
          </w:hyperlink>
        </w:p>
        <w:p w14:paraId="0B193D65" w14:textId="17F05449" w:rsidR="001B0222" w:rsidRDefault="001B0222">
          <w:pPr>
            <w:pStyle w:val="TOC1"/>
            <w:tabs>
              <w:tab w:val="left" w:pos="660"/>
              <w:tab w:val="right" w:pos="10600"/>
            </w:tabs>
            <w:rPr>
              <w:rFonts w:eastAsiaTheme="minorEastAsia" w:cstheme="minorBidi"/>
              <w:b w:val="0"/>
              <w:bCs w:val="0"/>
              <w:noProof/>
              <w:kern w:val="2"/>
              <w:sz w:val="24"/>
              <w:szCs w:val="24"/>
              <w:lang w:bidi="ar-SA"/>
              <w14:ligatures w14:val="standardContextual"/>
            </w:rPr>
          </w:pPr>
          <w:hyperlink w:anchor="_Toc236218942" w:history="1">
            <w:r w:rsidRPr="00D45B2C">
              <w:rPr>
                <w:rStyle w:val="Hyperlink"/>
                <w:noProof/>
              </w:rPr>
              <w:t>2.0</w:t>
            </w:r>
            <w:r>
              <w:rPr>
                <w:rFonts w:eastAsiaTheme="minorEastAsia" w:cstheme="minorBidi"/>
                <w:b w:val="0"/>
                <w:bCs w:val="0"/>
                <w:noProof/>
                <w:kern w:val="2"/>
                <w:sz w:val="24"/>
                <w:szCs w:val="24"/>
                <w:lang w:bidi="ar-SA"/>
                <w14:ligatures w14:val="standardContextual"/>
              </w:rPr>
              <w:tab/>
            </w:r>
            <w:r w:rsidRPr="00D45B2C">
              <w:rPr>
                <w:rStyle w:val="Hyperlink"/>
                <w:noProof/>
              </w:rPr>
              <w:t>WHY IS DEMENTIA IMPORTANT?</w:t>
            </w:r>
            <w:r>
              <w:rPr>
                <w:noProof/>
                <w:webHidden/>
              </w:rPr>
              <w:t xml:space="preserve"> </w:t>
            </w:r>
            <w:r>
              <w:rPr>
                <w:noProof/>
                <w:webHidden/>
              </w:rPr>
              <w:fldChar w:fldCharType="begin"/>
            </w:r>
            <w:r>
              <w:rPr>
                <w:noProof/>
                <w:webHidden/>
              </w:rPr>
              <w:instrText xml:space="preserve"> PAGEREF _Toc236218942 \h </w:instrText>
            </w:r>
            <w:r>
              <w:rPr>
                <w:noProof/>
                <w:webHidden/>
              </w:rPr>
            </w:r>
            <w:r>
              <w:rPr>
                <w:noProof/>
                <w:webHidden/>
              </w:rPr>
              <w:fldChar w:fldCharType="separate"/>
            </w:r>
            <w:r w:rsidR="00E636F5">
              <w:rPr>
                <w:noProof/>
                <w:webHidden/>
              </w:rPr>
              <w:t>5</w:t>
            </w:r>
            <w:r>
              <w:rPr>
                <w:noProof/>
                <w:webHidden/>
              </w:rPr>
              <w:fldChar w:fldCharType="end"/>
            </w:r>
          </w:hyperlink>
        </w:p>
        <w:p w14:paraId="62550875" w14:textId="59B43EB0"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43" w:history="1">
            <w:r w:rsidRPr="00D45B2C">
              <w:rPr>
                <w:rStyle w:val="Hyperlink"/>
                <w:noProof/>
              </w:rPr>
              <w:t>2.1</w:t>
            </w:r>
            <w:r>
              <w:rPr>
                <w:rFonts w:eastAsiaTheme="minorEastAsia" w:cstheme="minorBidi"/>
                <w:i w:val="0"/>
                <w:iCs w:val="0"/>
                <w:noProof/>
                <w:kern w:val="2"/>
                <w:sz w:val="24"/>
                <w:szCs w:val="24"/>
                <w:lang w:bidi="ar-SA"/>
                <w14:ligatures w14:val="standardContextual"/>
              </w:rPr>
              <w:tab/>
            </w:r>
            <w:r w:rsidRPr="00D45B2C">
              <w:rPr>
                <w:rStyle w:val="Hyperlink"/>
                <w:noProof/>
              </w:rPr>
              <w:t>Impact of the disease</w:t>
            </w:r>
            <w:r>
              <w:rPr>
                <w:noProof/>
                <w:webHidden/>
              </w:rPr>
              <w:t xml:space="preserve"> </w:t>
            </w:r>
            <w:r>
              <w:rPr>
                <w:noProof/>
                <w:webHidden/>
              </w:rPr>
              <w:fldChar w:fldCharType="begin"/>
            </w:r>
            <w:r>
              <w:rPr>
                <w:noProof/>
                <w:webHidden/>
              </w:rPr>
              <w:instrText xml:space="preserve"> PAGEREF _Toc236218943 \h </w:instrText>
            </w:r>
            <w:r>
              <w:rPr>
                <w:noProof/>
                <w:webHidden/>
              </w:rPr>
            </w:r>
            <w:r>
              <w:rPr>
                <w:noProof/>
                <w:webHidden/>
              </w:rPr>
              <w:fldChar w:fldCharType="separate"/>
            </w:r>
            <w:r w:rsidR="00E636F5">
              <w:rPr>
                <w:noProof/>
                <w:webHidden/>
              </w:rPr>
              <w:t>5</w:t>
            </w:r>
            <w:r>
              <w:rPr>
                <w:noProof/>
                <w:webHidden/>
              </w:rPr>
              <w:fldChar w:fldCharType="end"/>
            </w:r>
          </w:hyperlink>
        </w:p>
        <w:p w14:paraId="73325641" w14:textId="0FBA697B"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44" w:history="1">
            <w:r w:rsidRPr="00D45B2C">
              <w:rPr>
                <w:rStyle w:val="Hyperlink"/>
                <w:noProof/>
              </w:rPr>
              <w:t>2.2</w:t>
            </w:r>
            <w:r>
              <w:rPr>
                <w:rFonts w:eastAsiaTheme="minorEastAsia" w:cstheme="minorBidi"/>
                <w:i w:val="0"/>
                <w:iCs w:val="0"/>
                <w:noProof/>
                <w:kern w:val="2"/>
                <w:sz w:val="24"/>
                <w:szCs w:val="24"/>
                <w:lang w:bidi="ar-SA"/>
                <w14:ligatures w14:val="standardContextual"/>
              </w:rPr>
              <w:tab/>
            </w:r>
            <w:r w:rsidRPr="00D45B2C">
              <w:rPr>
                <w:rStyle w:val="Hyperlink"/>
                <w:noProof/>
              </w:rPr>
              <w:t>What are the economic costs of dementia?</w:t>
            </w:r>
            <w:r>
              <w:rPr>
                <w:noProof/>
                <w:webHidden/>
              </w:rPr>
              <w:t xml:space="preserve"> </w:t>
            </w:r>
            <w:r>
              <w:rPr>
                <w:noProof/>
                <w:webHidden/>
              </w:rPr>
              <w:fldChar w:fldCharType="begin"/>
            </w:r>
            <w:r>
              <w:rPr>
                <w:noProof/>
                <w:webHidden/>
              </w:rPr>
              <w:instrText xml:space="preserve"> PAGEREF _Toc236218944 \h </w:instrText>
            </w:r>
            <w:r>
              <w:rPr>
                <w:noProof/>
                <w:webHidden/>
              </w:rPr>
            </w:r>
            <w:r>
              <w:rPr>
                <w:noProof/>
                <w:webHidden/>
              </w:rPr>
              <w:fldChar w:fldCharType="separate"/>
            </w:r>
            <w:r w:rsidR="00E636F5">
              <w:rPr>
                <w:noProof/>
                <w:webHidden/>
              </w:rPr>
              <w:t>5</w:t>
            </w:r>
            <w:r>
              <w:rPr>
                <w:noProof/>
                <w:webHidden/>
              </w:rPr>
              <w:fldChar w:fldCharType="end"/>
            </w:r>
          </w:hyperlink>
        </w:p>
        <w:p w14:paraId="6D23EF13" w14:textId="672FA075"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45" w:history="1">
            <w:r w:rsidRPr="00D45B2C">
              <w:rPr>
                <w:rStyle w:val="Hyperlink"/>
                <w:noProof/>
              </w:rPr>
              <w:t>2.3</w:t>
            </w:r>
            <w:r>
              <w:rPr>
                <w:rFonts w:eastAsiaTheme="minorEastAsia" w:cstheme="minorBidi"/>
                <w:i w:val="0"/>
                <w:iCs w:val="0"/>
                <w:noProof/>
                <w:kern w:val="2"/>
                <w:sz w:val="24"/>
                <w:szCs w:val="24"/>
                <w:lang w:bidi="ar-SA"/>
                <w14:ligatures w14:val="standardContextual"/>
              </w:rPr>
              <w:tab/>
            </w:r>
            <w:r w:rsidRPr="00D45B2C">
              <w:rPr>
                <w:rStyle w:val="Hyperlink"/>
                <w:noProof/>
              </w:rPr>
              <w:t>The number and characteristics of people affected by dementia – National picture</w:t>
            </w:r>
            <w:r>
              <w:rPr>
                <w:noProof/>
                <w:webHidden/>
              </w:rPr>
              <w:t xml:space="preserve"> </w:t>
            </w:r>
            <w:r>
              <w:rPr>
                <w:noProof/>
                <w:webHidden/>
              </w:rPr>
              <w:fldChar w:fldCharType="begin"/>
            </w:r>
            <w:r>
              <w:rPr>
                <w:noProof/>
                <w:webHidden/>
              </w:rPr>
              <w:instrText xml:space="preserve"> PAGEREF _Toc236218945 \h </w:instrText>
            </w:r>
            <w:r>
              <w:rPr>
                <w:noProof/>
                <w:webHidden/>
              </w:rPr>
            </w:r>
            <w:r>
              <w:rPr>
                <w:noProof/>
                <w:webHidden/>
              </w:rPr>
              <w:fldChar w:fldCharType="separate"/>
            </w:r>
            <w:r w:rsidR="00E636F5">
              <w:rPr>
                <w:noProof/>
                <w:webHidden/>
              </w:rPr>
              <w:t>6</w:t>
            </w:r>
            <w:r>
              <w:rPr>
                <w:noProof/>
                <w:webHidden/>
              </w:rPr>
              <w:fldChar w:fldCharType="end"/>
            </w:r>
          </w:hyperlink>
        </w:p>
        <w:p w14:paraId="1697A8A9" w14:textId="08089B0E" w:rsidR="001B0222" w:rsidRDefault="001B0222">
          <w:pPr>
            <w:pStyle w:val="TOC1"/>
            <w:tabs>
              <w:tab w:val="left" w:pos="660"/>
              <w:tab w:val="right" w:pos="10600"/>
            </w:tabs>
            <w:rPr>
              <w:rFonts w:eastAsiaTheme="minorEastAsia" w:cstheme="minorBidi"/>
              <w:b w:val="0"/>
              <w:bCs w:val="0"/>
              <w:noProof/>
              <w:kern w:val="2"/>
              <w:sz w:val="24"/>
              <w:szCs w:val="24"/>
              <w:lang w:bidi="ar-SA"/>
              <w14:ligatures w14:val="standardContextual"/>
            </w:rPr>
          </w:pPr>
          <w:hyperlink w:anchor="_Toc236218946" w:history="1">
            <w:r w:rsidRPr="00D45B2C">
              <w:rPr>
                <w:rStyle w:val="Hyperlink"/>
                <w:noProof/>
              </w:rPr>
              <w:t>3.0</w:t>
            </w:r>
            <w:r>
              <w:rPr>
                <w:rFonts w:eastAsiaTheme="minorEastAsia" w:cstheme="minorBidi"/>
                <w:b w:val="0"/>
                <w:bCs w:val="0"/>
                <w:noProof/>
                <w:kern w:val="2"/>
                <w:sz w:val="24"/>
                <w:szCs w:val="24"/>
                <w:lang w:bidi="ar-SA"/>
                <w14:ligatures w14:val="standardContextual"/>
              </w:rPr>
              <w:tab/>
            </w:r>
            <w:r w:rsidRPr="00D45B2C">
              <w:rPr>
                <w:rStyle w:val="Hyperlink"/>
                <w:noProof/>
              </w:rPr>
              <w:t>WHO IS MOST AT RISK?</w:t>
            </w:r>
            <w:r>
              <w:rPr>
                <w:noProof/>
                <w:webHidden/>
              </w:rPr>
              <w:t xml:space="preserve"> </w:t>
            </w:r>
            <w:r>
              <w:rPr>
                <w:noProof/>
                <w:webHidden/>
              </w:rPr>
              <w:fldChar w:fldCharType="begin"/>
            </w:r>
            <w:r>
              <w:rPr>
                <w:noProof/>
                <w:webHidden/>
              </w:rPr>
              <w:instrText xml:space="preserve"> PAGEREF _Toc236218946 \h </w:instrText>
            </w:r>
            <w:r>
              <w:rPr>
                <w:noProof/>
                <w:webHidden/>
              </w:rPr>
            </w:r>
            <w:r>
              <w:rPr>
                <w:noProof/>
                <w:webHidden/>
              </w:rPr>
              <w:fldChar w:fldCharType="separate"/>
            </w:r>
            <w:r w:rsidR="00E636F5">
              <w:rPr>
                <w:noProof/>
                <w:webHidden/>
              </w:rPr>
              <w:t>6</w:t>
            </w:r>
            <w:r>
              <w:rPr>
                <w:noProof/>
                <w:webHidden/>
              </w:rPr>
              <w:fldChar w:fldCharType="end"/>
            </w:r>
          </w:hyperlink>
        </w:p>
        <w:p w14:paraId="532E1F81" w14:textId="6F827A6A" w:rsidR="001B0222" w:rsidRDefault="001B0222">
          <w:pPr>
            <w:pStyle w:val="TOC1"/>
            <w:tabs>
              <w:tab w:val="left" w:pos="660"/>
              <w:tab w:val="right" w:pos="10600"/>
            </w:tabs>
            <w:rPr>
              <w:rFonts w:eastAsiaTheme="minorEastAsia" w:cstheme="minorBidi"/>
              <w:b w:val="0"/>
              <w:bCs w:val="0"/>
              <w:noProof/>
              <w:kern w:val="2"/>
              <w:sz w:val="24"/>
              <w:szCs w:val="24"/>
              <w:lang w:bidi="ar-SA"/>
              <w14:ligatures w14:val="standardContextual"/>
            </w:rPr>
          </w:pPr>
          <w:hyperlink w:anchor="_Toc236218947" w:history="1">
            <w:r w:rsidRPr="00D45B2C">
              <w:rPr>
                <w:rStyle w:val="Hyperlink"/>
                <w:noProof/>
              </w:rPr>
              <w:t>4.0</w:t>
            </w:r>
            <w:r>
              <w:rPr>
                <w:rFonts w:eastAsiaTheme="minorEastAsia" w:cstheme="minorBidi"/>
                <w:b w:val="0"/>
                <w:bCs w:val="0"/>
                <w:noProof/>
                <w:kern w:val="2"/>
                <w:sz w:val="24"/>
                <w:szCs w:val="24"/>
                <w:lang w:bidi="ar-SA"/>
                <w14:ligatures w14:val="standardContextual"/>
              </w:rPr>
              <w:tab/>
            </w:r>
            <w:r w:rsidRPr="00D45B2C">
              <w:rPr>
                <w:rStyle w:val="Hyperlink"/>
                <w:noProof/>
              </w:rPr>
              <w:t>PREVENTING DEMENTIA</w:t>
            </w:r>
            <w:r w:rsidRPr="00D45B2C">
              <w:rPr>
                <w:rStyle w:val="Hyperlink"/>
                <w:noProof/>
                <w:vertAlign w:val="superscript"/>
              </w:rPr>
              <w:t>16</w:t>
            </w:r>
            <w:r>
              <w:rPr>
                <w:noProof/>
                <w:webHidden/>
              </w:rPr>
              <w:t xml:space="preserve"> </w:t>
            </w:r>
            <w:r>
              <w:rPr>
                <w:noProof/>
                <w:webHidden/>
              </w:rPr>
              <w:fldChar w:fldCharType="begin"/>
            </w:r>
            <w:r>
              <w:rPr>
                <w:noProof/>
                <w:webHidden/>
              </w:rPr>
              <w:instrText xml:space="preserve"> PAGEREF _Toc236218947 \h </w:instrText>
            </w:r>
            <w:r>
              <w:rPr>
                <w:noProof/>
                <w:webHidden/>
              </w:rPr>
            </w:r>
            <w:r>
              <w:rPr>
                <w:noProof/>
                <w:webHidden/>
              </w:rPr>
              <w:fldChar w:fldCharType="separate"/>
            </w:r>
            <w:r w:rsidR="00E636F5">
              <w:rPr>
                <w:noProof/>
                <w:webHidden/>
              </w:rPr>
              <w:t>7</w:t>
            </w:r>
            <w:r>
              <w:rPr>
                <w:noProof/>
                <w:webHidden/>
              </w:rPr>
              <w:fldChar w:fldCharType="end"/>
            </w:r>
          </w:hyperlink>
        </w:p>
        <w:p w14:paraId="2B7B75FA" w14:textId="22D61CF9" w:rsidR="001B0222" w:rsidRDefault="001B0222">
          <w:pPr>
            <w:pStyle w:val="TOC1"/>
            <w:tabs>
              <w:tab w:val="left" w:pos="660"/>
              <w:tab w:val="right" w:pos="10600"/>
            </w:tabs>
            <w:rPr>
              <w:rFonts w:eastAsiaTheme="minorEastAsia" w:cstheme="minorBidi"/>
              <w:b w:val="0"/>
              <w:bCs w:val="0"/>
              <w:noProof/>
              <w:kern w:val="2"/>
              <w:sz w:val="24"/>
              <w:szCs w:val="24"/>
              <w:lang w:bidi="ar-SA"/>
              <w14:ligatures w14:val="standardContextual"/>
            </w:rPr>
          </w:pPr>
          <w:hyperlink w:anchor="_Toc236218948" w:history="1">
            <w:r w:rsidRPr="00D45B2C">
              <w:rPr>
                <w:rStyle w:val="Hyperlink"/>
                <w:noProof/>
              </w:rPr>
              <w:t>5.0</w:t>
            </w:r>
            <w:r>
              <w:rPr>
                <w:rFonts w:eastAsiaTheme="minorEastAsia" w:cstheme="minorBidi"/>
                <w:b w:val="0"/>
                <w:bCs w:val="0"/>
                <w:noProof/>
                <w:kern w:val="2"/>
                <w:sz w:val="24"/>
                <w:szCs w:val="24"/>
                <w:lang w:bidi="ar-SA"/>
                <w14:ligatures w14:val="standardContextual"/>
              </w:rPr>
              <w:tab/>
            </w:r>
            <w:r w:rsidRPr="00D45B2C">
              <w:rPr>
                <w:rStyle w:val="Hyperlink"/>
                <w:noProof/>
              </w:rPr>
              <w:t>NATIONAL POLICY DRIVERS</w:t>
            </w:r>
            <w:r>
              <w:rPr>
                <w:noProof/>
                <w:webHidden/>
              </w:rPr>
              <w:t xml:space="preserve"> </w:t>
            </w:r>
            <w:r>
              <w:rPr>
                <w:noProof/>
                <w:webHidden/>
              </w:rPr>
              <w:fldChar w:fldCharType="begin"/>
            </w:r>
            <w:r>
              <w:rPr>
                <w:noProof/>
                <w:webHidden/>
              </w:rPr>
              <w:instrText xml:space="preserve"> PAGEREF _Toc236218948 \h </w:instrText>
            </w:r>
            <w:r>
              <w:rPr>
                <w:noProof/>
                <w:webHidden/>
              </w:rPr>
            </w:r>
            <w:r>
              <w:rPr>
                <w:noProof/>
                <w:webHidden/>
              </w:rPr>
              <w:fldChar w:fldCharType="separate"/>
            </w:r>
            <w:r w:rsidR="00E636F5">
              <w:rPr>
                <w:noProof/>
                <w:webHidden/>
              </w:rPr>
              <w:t>8</w:t>
            </w:r>
            <w:r>
              <w:rPr>
                <w:noProof/>
                <w:webHidden/>
              </w:rPr>
              <w:fldChar w:fldCharType="end"/>
            </w:r>
          </w:hyperlink>
        </w:p>
        <w:p w14:paraId="3A69B0B1" w14:textId="3D728902" w:rsidR="001B0222" w:rsidRDefault="001B0222">
          <w:pPr>
            <w:pStyle w:val="TOC1"/>
            <w:tabs>
              <w:tab w:val="left" w:pos="660"/>
              <w:tab w:val="right" w:pos="10600"/>
            </w:tabs>
            <w:rPr>
              <w:rFonts w:eastAsiaTheme="minorEastAsia" w:cstheme="minorBidi"/>
              <w:b w:val="0"/>
              <w:bCs w:val="0"/>
              <w:noProof/>
              <w:kern w:val="2"/>
              <w:sz w:val="24"/>
              <w:szCs w:val="24"/>
              <w:lang w:bidi="ar-SA"/>
              <w14:ligatures w14:val="standardContextual"/>
            </w:rPr>
          </w:pPr>
          <w:hyperlink w:anchor="_Toc236218949" w:history="1">
            <w:r w:rsidRPr="00D45B2C">
              <w:rPr>
                <w:rStyle w:val="Hyperlink"/>
                <w:noProof/>
              </w:rPr>
              <w:t>6.0</w:t>
            </w:r>
            <w:r>
              <w:rPr>
                <w:rFonts w:eastAsiaTheme="minorEastAsia" w:cstheme="minorBidi"/>
                <w:b w:val="0"/>
                <w:bCs w:val="0"/>
                <w:noProof/>
                <w:kern w:val="2"/>
                <w:sz w:val="24"/>
                <w:szCs w:val="24"/>
                <w:lang w:bidi="ar-SA"/>
                <w14:ligatures w14:val="standardContextual"/>
              </w:rPr>
              <w:tab/>
            </w:r>
            <w:r w:rsidRPr="00D45B2C">
              <w:rPr>
                <w:rStyle w:val="Hyperlink"/>
                <w:noProof/>
              </w:rPr>
              <w:t>LOCAL POLICY DRIVERS</w:t>
            </w:r>
            <w:r>
              <w:rPr>
                <w:noProof/>
                <w:webHidden/>
              </w:rPr>
              <w:t xml:space="preserve"> </w:t>
            </w:r>
            <w:r>
              <w:rPr>
                <w:noProof/>
                <w:webHidden/>
              </w:rPr>
              <w:fldChar w:fldCharType="begin"/>
            </w:r>
            <w:r>
              <w:rPr>
                <w:noProof/>
                <w:webHidden/>
              </w:rPr>
              <w:instrText xml:space="preserve"> PAGEREF _Toc236218949 \h </w:instrText>
            </w:r>
            <w:r>
              <w:rPr>
                <w:noProof/>
                <w:webHidden/>
              </w:rPr>
            </w:r>
            <w:r>
              <w:rPr>
                <w:noProof/>
                <w:webHidden/>
              </w:rPr>
              <w:fldChar w:fldCharType="separate"/>
            </w:r>
            <w:r w:rsidR="00E636F5">
              <w:rPr>
                <w:noProof/>
                <w:webHidden/>
              </w:rPr>
              <w:t>10</w:t>
            </w:r>
            <w:r>
              <w:rPr>
                <w:noProof/>
                <w:webHidden/>
              </w:rPr>
              <w:fldChar w:fldCharType="end"/>
            </w:r>
          </w:hyperlink>
        </w:p>
        <w:p w14:paraId="03AC4AF9" w14:textId="67D3A905"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50" w:history="1">
            <w:r w:rsidRPr="00D45B2C">
              <w:rPr>
                <w:rStyle w:val="Hyperlink"/>
                <w:noProof/>
              </w:rPr>
              <w:t>6.1</w:t>
            </w:r>
            <w:r>
              <w:rPr>
                <w:rFonts w:eastAsiaTheme="minorEastAsia" w:cstheme="minorBidi"/>
                <w:i w:val="0"/>
                <w:iCs w:val="0"/>
                <w:noProof/>
                <w:kern w:val="2"/>
                <w:sz w:val="24"/>
                <w:szCs w:val="24"/>
                <w:lang w:bidi="ar-SA"/>
                <w14:ligatures w14:val="standardContextual"/>
              </w:rPr>
              <w:tab/>
            </w:r>
            <w:r w:rsidRPr="00D45B2C">
              <w:rPr>
                <w:rStyle w:val="Hyperlink"/>
                <w:noProof/>
              </w:rPr>
              <w:t>ICB Dementia Strategy</w:t>
            </w:r>
            <w:r>
              <w:rPr>
                <w:noProof/>
                <w:webHidden/>
              </w:rPr>
              <w:t xml:space="preserve"> </w:t>
            </w:r>
            <w:r>
              <w:rPr>
                <w:noProof/>
                <w:webHidden/>
              </w:rPr>
              <w:fldChar w:fldCharType="begin"/>
            </w:r>
            <w:r>
              <w:rPr>
                <w:noProof/>
                <w:webHidden/>
              </w:rPr>
              <w:instrText xml:space="preserve"> PAGEREF _Toc236218950 \h </w:instrText>
            </w:r>
            <w:r>
              <w:rPr>
                <w:noProof/>
                <w:webHidden/>
              </w:rPr>
            </w:r>
            <w:r>
              <w:rPr>
                <w:noProof/>
                <w:webHidden/>
              </w:rPr>
              <w:fldChar w:fldCharType="separate"/>
            </w:r>
            <w:r w:rsidR="00E636F5">
              <w:rPr>
                <w:noProof/>
                <w:webHidden/>
              </w:rPr>
              <w:t>10</w:t>
            </w:r>
            <w:r>
              <w:rPr>
                <w:noProof/>
                <w:webHidden/>
              </w:rPr>
              <w:fldChar w:fldCharType="end"/>
            </w:r>
          </w:hyperlink>
        </w:p>
        <w:p w14:paraId="03C4EFAD" w14:textId="5411C115"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51" w:history="1">
            <w:r w:rsidRPr="00D45B2C">
              <w:rPr>
                <w:rStyle w:val="Hyperlink"/>
                <w:noProof/>
              </w:rPr>
              <w:t>6.2</w:t>
            </w:r>
            <w:r>
              <w:rPr>
                <w:rFonts w:eastAsiaTheme="minorEastAsia" w:cstheme="minorBidi"/>
                <w:i w:val="0"/>
                <w:iCs w:val="0"/>
                <w:noProof/>
                <w:kern w:val="2"/>
                <w:sz w:val="24"/>
                <w:szCs w:val="24"/>
                <w:lang w:bidi="ar-SA"/>
                <w14:ligatures w14:val="standardContextual"/>
              </w:rPr>
              <w:tab/>
            </w:r>
            <w:r w:rsidRPr="00D45B2C">
              <w:rPr>
                <w:rStyle w:val="Hyperlink"/>
                <w:noProof/>
              </w:rPr>
              <w:t>Knowsley’s Dementia Strategy</w:t>
            </w:r>
            <w:r>
              <w:rPr>
                <w:noProof/>
                <w:webHidden/>
              </w:rPr>
              <w:t xml:space="preserve"> </w:t>
            </w:r>
            <w:r>
              <w:rPr>
                <w:noProof/>
                <w:webHidden/>
              </w:rPr>
              <w:fldChar w:fldCharType="begin"/>
            </w:r>
            <w:r>
              <w:rPr>
                <w:noProof/>
                <w:webHidden/>
              </w:rPr>
              <w:instrText xml:space="preserve"> PAGEREF _Toc236218951 \h </w:instrText>
            </w:r>
            <w:r>
              <w:rPr>
                <w:noProof/>
                <w:webHidden/>
              </w:rPr>
            </w:r>
            <w:r>
              <w:rPr>
                <w:noProof/>
                <w:webHidden/>
              </w:rPr>
              <w:fldChar w:fldCharType="separate"/>
            </w:r>
            <w:r w:rsidR="00E636F5">
              <w:rPr>
                <w:noProof/>
                <w:webHidden/>
              </w:rPr>
              <w:t>10</w:t>
            </w:r>
            <w:r>
              <w:rPr>
                <w:noProof/>
                <w:webHidden/>
              </w:rPr>
              <w:fldChar w:fldCharType="end"/>
            </w:r>
          </w:hyperlink>
        </w:p>
        <w:p w14:paraId="352B82AF" w14:textId="6C193A8E" w:rsidR="001B0222" w:rsidRDefault="001B0222">
          <w:pPr>
            <w:pStyle w:val="TOC1"/>
            <w:tabs>
              <w:tab w:val="left" w:pos="660"/>
              <w:tab w:val="right" w:pos="10600"/>
            </w:tabs>
            <w:rPr>
              <w:rFonts w:eastAsiaTheme="minorEastAsia" w:cstheme="minorBidi"/>
              <w:b w:val="0"/>
              <w:bCs w:val="0"/>
              <w:noProof/>
              <w:kern w:val="2"/>
              <w:sz w:val="24"/>
              <w:szCs w:val="24"/>
              <w:lang w:bidi="ar-SA"/>
              <w14:ligatures w14:val="standardContextual"/>
            </w:rPr>
          </w:pPr>
          <w:hyperlink w:anchor="_Toc236218952" w:history="1">
            <w:r w:rsidRPr="00D45B2C">
              <w:rPr>
                <w:rStyle w:val="Hyperlink"/>
                <w:noProof/>
              </w:rPr>
              <w:t>7.0</w:t>
            </w:r>
            <w:r>
              <w:rPr>
                <w:rFonts w:eastAsiaTheme="minorEastAsia" w:cstheme="minorBidi"/>
                <w:b w:val="0"/>
                <w:bCs w:val="0"/>
                <w:noProof/>
                <w:kern w:val="2"/>
                <w:sz w:val="24"/>
                <w:szCs w:val="24"/>
                <w:lang w:bidi="ar-SA"/>
                <w14:ligatures w14:val="standardContextual"/>
              </w:rPr>
              <w:tab/>
            </w:r>
            <w:r w:rsidRPr="00D45B2C">
              <w:rPr>
                <w:rStyle w:val="Hyperlink"/>
                <w:noProof/>
              </w:rPr>
              <w:t>THE KNOWSLEY PICTURE</w:t>
            </w:r>
            <w:r>
              <w:rPr>
                <w:noProof/>
                <w:webHidden/>
              </w:rPr>
              <w:t xml:space="preserve"> </w:t>
            </w:r>
            <w:r>
              <w:rPr>
                <w:noProof/>
                <w:webHidden/>
              </w:rPr>
              <w:fldChar w:fldCharType="begin"/>
            </w:r>
            <w:r>
              <w:rPr>
                <w:noProof/>
                <w:webHidden/>
              </w:rPr>
              <w:instrText xml:space="preserve"> PAGEREF _Toc236218952 \h </w:instrText>
            </w:r>
            <w:r>
              <w:rPr>
                <w:noProof/>
                <w:webHidden/>
              </w:rPr>
            </w:r>
            <w:r>
              <w:rPr>
                <w:noProof/>
                <w:webHidden/>
              </w:rPr>
              <w:fldChar w:fldCharType="separate"/>
            </w:r>
            <w:r w:rsidR="00E636F5">
              <w:rPr>
                <w:noProof/>
                <w:webHidden/>
              </w:rPr>
              <w:t>10</w:t>
            </w:r>
            <w:r>
              <w:rPr>
                <w:noProof/>
                <w:webHidden/>
              </w:rPr>
              <w:fldChar w:fldCharType="end"/>
            </w:r>
          </w:hyperlink>
        </w:p>
        <w:p w14:paraId="61414E50" w14:textId="532567FE"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53" w:history="1">
            <w:r w:rsidRPr="00D45B2C">
              <w:rPr>
                <w:rStyle w:val="Hyperlink"/>
                <w:noProof/>
              </w:rPr>
              <w:t>7.2</w:t>
            </w:r>
            <w:r>
              <w:rPr>
                <w:rFonts w:eastAsiaTheme="minorEastAsia" w:cstheme="minorBidi"/>
                <w:i w:val="0"/>
                <w:iCs w:val="0"/>
                <w:noProof/>
                <w:kern w:val="2"/>
                <w:sz w:val="24"/>
                <w:szCs w:val="24"/>
                <w:lang w:bidi="ar-SA"/>
                <w14:ligatures w14:val="standardContextual"/>
              </w:rPr>
              <w:tab/>
            </w:r>
            <w:r w:rsidRPr="00D45B2C">
              <w:rPr>
                <w:rStyle w:val="Hyperlink"/>
                <w:noProof/>
              </w:rPr>
              <w:t>Types of diagnosed Dementia in Knowsley</w:t>
            </w:r>
            <w:r w:rsidRPr="00D45B2C">
              <w:rPr>
                <w:rStyle w:val="Hyperlink"/>
                <w:noProof/>
                <w:vertAlign w:val="superscript"/>
              </w:rPr>
              <w:t>15</w:t>
            </w:r>
            <w:r>
              <w:rPr>
                <w:noProof/>
                <w:webHidden/>
              </w:rPr>
              <w:t xml:space="preserve"> </w:t>
            </w:r>
            <w:r>
              <w:rPr>
                <w:noProof/>
                <w:webHidden/>
              </w:rPr>
              <w:fldChar w:fldCharType="begin"/>
            </w:r>
            <w:r>
              <w:rPr>
                <w:noProof/>
                <w:webHidden/>
              </w:rPr>
              <w:instrText xml:space="preserve"> PAGEREF _Toc236218953 \h </w:instrText>
            </w:r>
            <w:r>
              <w:rPr>
                <w:noProof/>
                <w:webHidden/>
              </w:rPr>
            </w:r>
            <w:r>
              <w:rPr>
                <w:noProof/>
                <w:webHidden/>
              </w:rPr>
              <w:fldChar w:fldCharType="separate"/>
            </w:r>
            <w:r w:rsidR="00E636F5">
              <w:rPr>
                <w:noProof/>
                <w:webHidden/>
              </w:rPr>
              <w:t>12</w:t>
            </w:r>
            <w:r>
              <w:rPr>
                <w:noProof/>
                <w:webHidden/>
              </w:rPr>
              <w:fldChar w:fldCharType="end"/>
            </w:r>
          </w:hyperlink>
        </w:p>
        <w:p w14:paraId="21662BA1" w14:textId="482B3CED"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54" w:history="1">
            <w:r w:rsidRPr="00D45B2C">
              <w:rPr>
                <w:rStyle w:val="Hyperlink"/>
                <w:noProof/>
              </w:rPr>
              <w:t>7.3</w:t>
            </w:r>
            <w:r>
              <w:rPr>
                <w:rFonts w:eastAsiaTheme="minorEastAsia" w:cstheme="minorBidi"/>
                <w:i w:val="0"/>
                <w:iCs w:val="0"/>
                <w:noProof/>
                <w:kern w:val="2"/>
                <w:sz w:val="24"/>
                <w:szCs w:val="24"/>
                <w:lang w:bidi="ar-SA"/>
                <w14:ligatures w14:val="standardContextual"/>
              </w:rPr>
              <w:tab/>
            </w:r>
            <w:r w:rsidRPr="00D45B2C">
              <w:rPr>
                <w:rStyle w:val="Hyperlink"/>
                <w:noProof/>
              </w:rPr>
              <w:t>Mild Cognitive Impairment</w:t>
            </w:r>
            <w:r>
              <w:rPr>
                <w:noProof/>
                <w:webHidden/>
              </w:rPr>
              <w:t xml:space="preserve"> </w:t>
            </w:r>
            <w:r>
              <w:rPr>
                <w:noProof/>
                <w:webHidden/>
              </w:rPr>
              <w:fldChar w:fldCharType="begin"/>
            </w:r>
            <w:r>
              <w:rPr>
                <w:noProof/>
                <w:webHidden/>
              </w:rPr>
              <w:instrText xml:space="preserve"> PAGEREF _Toc236218954 \h </w:instrText>
            </w:r>
            <w:r>
              <w:rPr>
                <w:noProof/>
                <w:webHidden/>
              </w:rPr>
            </w:r>
            <w:r>
              <w:rPr>
                <w:noProof/>
                <w:webHidden/>
              </w:rPr>
              <w:fldChar w:fldCharType="separate"/>
            </w:r>
            <w:r w:rsidR="00E636F5">
              <w:rPr>
                <w:noProof/>
                <w:webHidden/>
              </w:rPr>
              <w:t>12</w:t>
            </w:r>
            <w:r>
              <w:rPr>
                <w:noProof/>
                <w:webHidden/>
              </w:rPr>
              <w:fldChar w:fldCharType="end"/>
            </w:r>
          </w:hyperlink>
        </w:p>
        <w:p w14:paraId="67A48DC9" w14:textId="011CA164"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55" w:history="1">
            <w:r w:rsidRPr="00D45B2C">
              <w:rPr>
                <w:rStyle w:val="Hyperlink"/>
                <w:noProof/>
              </w:rPr>
              <w:t>7.4</w:t>
            </w:r>
            <w:r>
              <w:rPr>
                <w:rFonts w:eastAsiaTheme="minorEastAsia" w:cstheme="minorBidi"/>
                <w:i w:val="0"/>
                <w:iCs w:val="0"/>
                <w:noProof/>
                <w:kern w:val="2"/>
                <w:sz w:val="24"/>
                <w:szCs w:val="24"/>
                <w:lang w:bidi="ar-SA"/>
                <w14:ligatures w14:val="standardContextual"/>
              </w:rPr>
              <w:tab/>
            </w:r>
            <w:r w:rsidRPr="00D45B2C">
              <w:rPr>
                <w:rStyle w:val="Hyperlink"/>
                <w:noProof/>
              </w:rPr>
              <w:t>Comorbidities and Palliative care</w:t>
            </w:r>
            <w:r>
              <w:rPr>
                <w:noProof/>
                <w:webHidden/>
              </w:rPr>
              <w:t xml:space="preserve"> </w:t>
            </w:r>
            <w:r>
              <w:rPr>
                <w:noProof/>
                <w:webHidden/>
              </w:rPr>
              <w:fldChar w:fldCharType="begin"/>
            </w:r>
            <w:r>
              <w:rPr>
                <w:noProof/>
                <w:webHidden/>
              </w:rPr>
              <w:instrText xml:space="preserve"> PAGEREF _Toc236218955 \h </w:instrText>
            </w:r>
            <w:r>
              <w:rPr>
                <w:noProof/>
                <w:webHidden/>
              </w:rPr>
            </w:r>
            <w:r>
              <w:rPr>
                <w:noProof/>
                <w:webHidden/>
              </w:rPr>
              <w:fldChar w:fldCharType="separate"/>
            </w:r>
            <w:r w:rsidR="00E636F5">
              <w:rPr>
                <w:noProof/>
                <w:webHidden/>
              </w:rPr>
              <w:t>13</w:t>
            </w:r>
            <w:r>
              <w:rPr>
                <w:noProof/>
                <w:webHidden/>
              </w:rPr>
              <w:fldChar w:fldCharType="end"/>
            </w:r>
          </w:hyperlink>
        </w:p>
        <w:p w14:paraId="2EE0511B" w14:textId="32BF3EAC"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56" w:history="1">
            <w:r w:rsidRPr="00D45B2C">
              <w:rPr>
                <w:rStyle w:val="Hyperlink"/>
                <w:noProof/>
              </w:rPr>
              <w:t>7.5</w:t>
            </w:r>
            <w:r>
              <w:rPr>
                <w:rFonts w:eastAsiaTheme="minorEastAsia" w:cstheme="minorBidi"/>
                <w:i w:val="0"/>
                <w:iCs w:val="0"/>
                <w:noProof/>
                <w:kern w:val="2"/>
                <w:sz w:val="24"/>
                <w:szCs w:val="24"/>
                <w:lang w:bidi="ar-SA"/>
                <w14:ligatures w14:val="standardContextual"/>
              </w:rPr>
              <w:tab/>
            </w:r>
            <w:r w:rsidRPr="00D45B2C">
              <w:rPr>
                <w:rStyle w:val="Hyperlink"/>
                <w:noProof/>
              </w:rPr>
              <w:t>Dementia by age and gender</w:t>
            </w:r>
            <w:r>
              <w:rPr>
                <w:noProof/>
                <w:webHidden/>
              </w:rPr>
              <w:t xml:space="preserve"> </w:t>
            </w:r>
            <w:r>
              <w:rPr>
                <w:noProof/>
                <w:webHidden/>
              </w:rPr>
              <w:fldChar w:fldCharType="begin"/>
            </w:r>
            <w:r>
              <w:rPr>
                <w:noProof/>
                <w:webHidden/>
              </w:rPr>
              <w:instrText xml:space="preserve"> PAGEREF _Toc236218956 \h </w:instrText>
            </w:r>
            <w:r>
              <w:rPr>
                <w:noProof/>
                <w:webHidden/>
              </w:rPr>
            </w:r>
            <w:r>
              <w:rPr>
                <w:noProof/>
                <w:webHidden/>
              </w:rPr>
              <w:fldChar w:fldCharType="separate"/>
            </w:r>
            <w:r w:rsidR="00E636F5">
              <w:rPr>
                <w:noProof/>
                <w:webHidden/>
              </w:rPr>
              <w:t>13</w:t>
            </w:r>
            <w:r>
              <w:rPr>
                <w:noProof/>
                <w:webHidden/>
              </w:rPr>
              <w:fldChar w:fldCharType="end"/>
            </w:r>
          </w:hyperlink>
        </w:p>
        <w:p w14:paraId="6E9440AA" w14:textId="7D9E5D87"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57" w:history="1">
            <w:r w:rsidRPr="00D45B2C">
              <w:rPr>
                <w:rStyle w:val="Hyperlink"/>
                <w:noProof/>
              </w:rPr>
              <w:t>7.6</w:t>
            </w:r>
            <w:r>
              <w:rPr>
                <w:rFonts w:eastAsiaTheme="minorEastAsia" w:cstheme="minorBidi"/>
                <w:i w:val="0"/>
                <w:iCs w:val="0"/>
                <w:noProof/>
                <w:kern w:val="2"/>
                <w:sz w:val="24"/>
                <w:szCs w:val="24"/>
                <w:lang w:bidi="ar-SA"/>
                <w14:ligatures w14:val="standardContextual"/>
              </w:rPr>
              <w:tab/>
            </w:r>
            <w:r w:rsidRPr="00D45B2C">
              <w:rPr>
                <w:rStyle w:val="Hyperlink"/>
                <w:noProof/>
              </w:rPr>
              <w:t>Young onset Dementia</w:t>
            </w:r>
            <w:r>
              <w:rPr>
                <w:noProof/>
                <w:webHidden/>
              </w:rPr>
              <w:t xml:space="preserve"> </w:t>
            </w:r>
            <w:r>
              <w:rPr>
                <w:noProof/>
                <w:webHidden/>
              </w:rPr>
              <w:fldChar w:fldCharType="begin"/>
            </w:r>
            <w:r>
              <w:rPr>
                <w:noProof/>
                <w:webHidden/>
              </w:rPr>
              <w:instrText xml:space="preserve"> PAGEREF _Toc236218957 \h </w:instrText>
            </w:r>
            <w:r>
              <w:rPr>
                <w:noProof/>
                <w:webHidden/>
              </w:rPr>
            </w:r>
            <w:r>
              <w:rPr>
                <w:noProof/>
                <w:webHidden/>
              </w:rPr>
              <w:fldChar w:fldCharType="separate"/>
            </w:r>
            <w:r w:rsidR="00E636F5">
              <w:rPr>
                <w:noProof/>
                <w:webHidden/>
              </w:rPr>
              <w:t>13</w:t>
            </w:r>
            <w:r>
              <w:rPr>
                <w:noProof/>
                <w:webHidden/>
              </w:rPr>
              <w:fldChar w:fldCharType="end"/>
            </w:r>
          </w:hyperlink>
        </w:p>
        <w:p w14:paraId="48819B04" w14:textId="56129DCD"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58" w:history="1">
            <w:r w:rsidRPr="00D45B2C">
              <w:rPr>
                <w:rStyle w:val="Hyperlink"/>
                <w:noProof/>
              </w:rPr>
              <w:t>7.7</w:t>
            </w:r>
            <w:r>
              <w:rPr>
                <w:rFonts w:eastAsiaTheme="minorEastAsia" w:cstheme="minorBidi"/>
                <w:i w:val="0"/>
                <w:iCs w:val="0"/>
                <w:noProof/>
                <w:kern w:val="2"/>
                <w:sz w:val="24"/>
                <w:szCs w:val="24"/>
                <w:lang w:bidi="ar-SA"/>
                <w14:ligatures w14:val="standardContextual"/>
              </w:rPr>
              <w:tab/>
            </w:r>
            <w:r w:rsidRPr="00D45B2C">
              <w:rPr>
                <w:rStyle w:val="Hyperlink"/>
                <w:noProof/>
              </w:rPr>
              <w:t>Ethnic Minority population with diagnosed Dementia</w:t>
            </w:r>
            <w:r>
              <w:rPr>
                <w:noProof/>
                <w:webHidden/>
              </w:rPr>
              <w:t xml:space="preserve"> </w:t>
            </w:r>
            <w:r>
              <w:rPr>
                <w:noProof/>
                <w:webHidden/>
              </w:rPr>
              <w:fldChar w:fldCharType="begin"/>
            </w:r>
            <w:r>
              <w:rPr>
                <w:noProof/>
                <w:webHidden/>
              </w:rPr>
              <w:instrText xml:space="preserve"> PAGEREF _Toc236218958 \h </w:instrText>
            </w:r>
            <w:r>
              <w:rPr>
                <w:noProof/>
                <w:webHidden/>
              </w:rPr>
            </w:r>
            <w:r>
              <w:rPr>
                <w:noProof/>
                <w:webHidden/>
              </w:rPr>
              <w:fldChar w:fldCharType="separate"/>
            </w:r>
            <w:r w:rsidR="00E636F5">
              <w:rPr>
                <w:noProof/>
                <w:webHidden/>
              </w:rPr>
              <w:t>13</w:t>
            </w:r>
            <w:r>
              <w:rPr>
                <w:noProof/>
                <w:webHidden/>
              </w:rPr>
              <w:fldChar w:fldCharType="end"/>
            </w:r>
          </w:hyperlink>
        </w:p>
        <w:p w14:paraId="2F24B99A" w14:textId="6A4119A6"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59" w:history="1">
            <w:r w:rsidRPr="00D45B2C">
              <w:rPr>
                <w:rStyle w:val="Hyperlink"/>
                <w:noProof/>
              </w:rPr>
              <w:t>7.8</w:t>
            </w:r>
            <w:r>
              <w:rPr>
                <w:rFonts w:eastAsiaTheme="minorEastAsia" w:cstheme="minorBidi"/>
                <w:i w:val="0"/>
                <w:iCs w:val="0"/>
                <w:noProof/>
                <w:kern w:val="2"/>
                <w:sz w:val="24"/>
                <w:szCs w:val="24"/>
                <w:lang w:bidi="ar-SA"/>
                <w14:ligatures w14:val="standardContextual"/>
              </w:rPr>
              <w:tab/>
            </w:r>
            <w:r w:rsidRPr="00D45B2C">
              <w:rPr>
                <w:rStyle w:val="Hyperlink"/>
                <w:noProof/>
              </w:rPr>
              <w:t>Usual residence of people with diagnosed Dementia</w:t>
            </w:r>
            <w:r>
              <w:rPr>
                <w:noProof/>
                <w:webHidden/>
              </w:rPr>
              <w:t xml:space="preserve"> </w:t>
            </w:r>
            <w:r>
              <w:rPr>
                <w:noProof/>
                <w:webHidden/>
              </w:rPr>
              <w:fldChar w:fldCharType="begin"/>
            </w:r>
            <w:r>
              <w:rPr>
                <w:noProof/>
                <w:webHidden/>
              </w:rPr>
              <w:instrText xml:space="preserve"> PAGEREF _Toc236218959 \h </w:instrText>
            </w:r>
            <w:r>
              <w:rPr>
                <w:noProof/>
                <w:webHidden/>
              </w:rPr>
            </w:r>
            <w:r>
              <w:rPr>
                <w:noProof/>
                <w:webHidden/>
              </w:rPr>
              <w:fldChar w:fldCharType="separate"/>
            </w:r>
            <w:r w:rsidR="00E636F5">
              <w:rPr>
                <w:noProof/>
                <w:webHidden/>
              </w:rPr>
              <w:t>14</w:t>
            </w:r>
            <w:r>
              <w:rPr>
                <w:noProof/>
                <w:webHidden/>
              </w:rPr>
              <w:fldChar w:fldCharType="end"/>
            </w:r>
          </w:hyperlink>
        </w:p>
        <w:p w14:paraId="2EF117EC" w14:textId="3ACE2CBC"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60" w:history="1">
            <w:r w:rsidRPr="00D45B2C">
              <w:rPr>
                <w:rStyle w:val="Hyperlink"/>
                <w:noProof/>
              </w:rPr>
              <w:t>7.9</w:t>
            </w:r>
            <w:r>
              <w:rPr>
                <w:rFonts w:eastAsiaTheme="minorEastAsia" w:cstheme="minorBidi"/>
                <w:i w:val="0"/>
                <w:iCs w:val="0"/>
                <w:noProof/>
                <w:kern w:val="2"/>
                <w:sz w:val="24"/>
                <w:szCs w:val="24"/>
                <w:lang w:bidi="ar-SA"/>
                <w14:ligatures w14:val="standardContextual"/>
              </w:rPr>
              <w:tab/>
            </w:r>
            <w:r w:rsidRPr="00D45B2C">
              <w:rPr>
                <w:rStyle w:val="Hyperlink"/>
                <w:noProof/>
              </w:rPr>
              <w:t>Dementia diagnosis rate</w:t>
            </w:r>
            <w:r>
              <w:rPr>
                <w:noProof/>
                <w:webHidden/>
              </w:rPr>
              <w:t xml:space="preserve"> </w:t>
            </w:r>
            <w:r>
              <w:rPr>
                <w:noProof/>
                <w:webHidden/>
              </w:rPr>
              <w:fldChar w:fldCharType="begin"/>
            </w:r>
            <w:r>
              <w:rPr>
                <w:noProof/>
                <w:webHidden/>
              </w:rPr>
              <w:instrText xml:space="preserve"> PAGEREF _Toc236218960 \h </w:instrText>
            </w:r>
            <w:r>
              <w:rPr>
                <w:noProof/>
                <w:webHidden/>
              </w:rPr>
            </w:r>
            <w:r>
              <w:rPr>
                <w:noProof/>
                <w:webHidden/>
              </w:rPr>
              <w:fldChar w:fldCharType="separate"/>
            </w:r>
            <w:r w:rsidR="00E636F5">
              <w:rPr>
                <w:noProof/>
                <w:webHidden/>
              </w:rPr>
              <w:t>14</w:t>
            </w:r>
            <w:r>
              <w:rPr>
                <w:noProof/>
                <w:webHidden/>
              </w:rPr>
              <w:fldChar w:fldCharType="end"/>
            </w:r>
          </w:hyperlink>
        </w:p>
        <w:p w14:paraId="722F7D71" w14:textId="465968F7"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61" w:history="1">
            <w:r w:rsidRPr="00D45B2C">
              <w:rPr>
                <w:rStyle w:val="Hyperlink"/>
                <w:noProof/>
              </w:rPr>
              <w:t>7.10</w:t>
            </w:r>
            <w:r>
              <w:rPr>
                <w:rFonts w:eastAsiaTheme="minorEastAsia" w:cstheme="minorBidi"/>
                <w:i w:val="0"/>
                <w:iCs w:val="0"/>
                <w:noProof/>
                <w:kern w:val="2"/>
                <w:sz w:val="24"/>
                <w:szCs w:val="24"/>
                <w:lang w:bidi="ar-SA"/>
                <w14:ligatures w14:val="standardContextual"/>
              </w:rPr>
              <w:tab/>
            </w:r>
            <w:r w:rsidRPr="00D45B2C">
              <w:rPr>
                <w:rStyle w:val="Hyperlink"/>
                <w:noProof/>
              </w:rPr>
              <w:t xml:space="preserve">Dementia: Quality ratings of nursing/residential care home beds (aged 65+) </w:t>
            </w:r>
            <w:r w:rsidRPr="00D45B2C">
              <w:rPr>
                <w:rStyle w:val="Hyperlink"/>
                <w:noProof/>
                <w:vertAlign w:val="superscript"/>
              </w:rPr>
              <w:t>17</w:t>
            </w:r>
            <w:r>
              <w:rPr>
                <w:noProof/>
                <w:webHidden/>
              </w:rPr>
              <w:t xml:space="preserve"> </w:t>
            </w:r>
            <w:r>
              <w:rPr>
                <w:noProof/>
                <w:webHidden/>
              </w:rPr>
              <w:fldChar w:fldCharType="begin"/>
            </w:r>
            <w:r>
              <w:rPr>
                <w:noProof/>
                <w:webHidden/>
              </w:rPr>
              <w:instrText xml:space="preserve"> PAGEREF _Toc236218961 \h </w:instrText>
            </w:r>
            <w:r>
              <w:rPr>
                <w:noProof/>
                <w:webHidden/>
              </w:rPr>
            </w:r>
            <w:r>
              <w:rPr>
                <w:noProof/>
                <w:webHidden/>
              </w:rPr>
              <w:fldChar w:fldCharType="separate"/>
            </w:r>
            <w:r w:rsidR="00E636F5">
              <w:rPr>
                <w:noProof/>
                <w:webHidden/>
              </w:rPr>
              <w:t>14</w:t>
            </w:r>
            <w:r>
              <w:rPr>
                <w:noProof/>
                <w:webHidden/>
              </w:rPr>
              <w:fldChar w:fldCharType="end"/>
            </w:r>
          </w:hyperlink>
        </w:p>
        <w:p w14:paraId="22EC478C" w14:textId="37EC1084"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62" w:history="1">
            <w:r w:rsidRPr="00D45B2C">
              <w:rPr>
                <w:rStyle w:val="Hyperlink"/>
                <w:noProof/>
              </w:rPr>
              <w:t>7.11</w:t>
            </w:r>
            <w:r>
              <w:rPr>
                <w:rFonts w:eastAsiaTheme="minorEastAsia" w:cstheme="minorBidi"/>
                <w:i w:val="0"/>
                <w:iCs w:val="0"/>
                <w:noProof/>
                <w:kern w:val="2"/>
                <w:sz w:val="24"/>
                <w:szCs w:val="24"/>
                <w:lang w:bidi="ar-SA"/>
                <w14:ligatures w14:val="standardContextual"/>
              </w:rPr>
              <w:tab/>
            </w:r>
            <w:r w:rsidRPr="00D45B2C">
              <w:rPr>
                <w:rStyle w:val="Hyperlink"/>
                <w:noProof/>
              </w:rPr>
              <w:t>Future projections</w:t>
            </w:r>
            <w:r>
              <w:rPr>
                <w:noProof/>
                <w:webHidden/>
              </w:rPr>
              <w:t xml:space="preserve"> </w:t>
            </w:r>
            <w:r>
              <w:rPr>
                <w:noProof/>
                <w:webHidden/>
              </w:rPr>
              <w:fldChar w:fldCharType="begin"/>
            </w:r>
            <w:r>
              <w:rPr>
                <w:noProof/>
                <w:webHidden/>
              </w:rPr>
              <w:instrText xml:space="preserve"> PAGEREF _Toc236218962 \h </w:instrText>
            </w:r>
            <w:r>
              <w:rPr>
                <w:noProof/>
                <w:webHidden/>
              </w:rPr>
            </w:r>
            <w:r>
              <w:rPr>
                <w:noProof/>
                <w:webHidden/>
              </w:rPr>
              <w:fldChar w:fldCharType="separate"/>
            </w:r>
            <w:r w:rsidR="00E636F5">
              <w:rPr>
                <w:noProof/>
                <w:webHidden/>
              </w:rPr>
              <w:t>15</w:t>
            </w:r>
            <w:r>
              <w:rPr>
                <w:noProof/>
                <w:webHidden/>
              </w:rPr>
              <w:fldChar w:fldCharType="end"/>
            </w:r>
          </w:hyperlink>
        </w:p>
        <w:p w14:paraId="5D818420" w14:textId="6BEC633F"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63" w:history="1">
            <w:r w:rsidRPr="00D45B2C">
              <w:rPr>
                <w:rStyle w:val="Hyperlink"/>
                <w:noProof/>
              </w:rPr>
              <w:t>7.12</w:t>
            </w:r>
            <w:r>
              <w:rPr>
                <w:rFonts w:eastAsiaTheme="minorEastAsia" w:cstheme="minorBidi"/>
                <w:i w:val="0"/>
                <w:iCs w:val="0"/>
                <w:noProof/>
                <w:kern w:val="2"/>
                <w:sz w:val="24"/>
                <w:szCs w:val="24"/>
                <w:lang w:bidi="ar-SA"/>
                <w14:ligatures w14:val="standardContextual"/>
              </w:rPr>
              <w:tab/>
            </w:r>
            <w:r w:rsidRPr="00D45B2C">
              <w:rPr>
                <w:rStyle w:val="Hyperlink"/>
                <w:noProof/>
              </w:rPr>
              <w:t>Dementia (aged under 65 years)</w:t>
            </w:r>
            <w:r>
              <w:rPr>
                <w:noProof/>
                <w:webHidden/>
              </w:rPr>
              <w:t xml:space="preserve"> </w:t>
            </w:r>
            <w:r>
              <w:rPr>
                <w:noProof/>
                <w:webHidden/>
              </w:rPr>
              <w:fldChar w:fldCharType="begin"/>
            </w:r>
            <w:r>
              <w:rPr>
                <w:noProof/>
                <w:webHidden/>
              </w:rPr>
              <w:instrText xml:space="preserve"> PAGEREF _Toc236218963 \h </w:instrText>
            </w:r>
            <w:r>
              <w:rPr>
                <w:noProof/>
                <w:webHidden/>
              </w:rPr>
            </w:r>
            <w:r>
              <w:rPr>
                <w:noProof/>
                <w:webHidden/>
              </w:rPr>
              <w:fldChar w:fldCharType="separate"/>
            </w:r>
            <w:r w:rsidR="00E636F5">
              <w:rPr>
                <w:noProof/>
                <w:webHidden/>
              </w:rPr>
              <w:t>16</w:t>
            </w:r>
            <w:r>
              <w:rPr>
                <w:noProof/>
                <w:webHidden/>
              </w:rPr>
              <w:fldChar w:fldCharType="end"/>
            </w:r>
          </w:hyperlink>
        </w:p>
        <w:p w14:paraId="4CB6974A" w14:textId="637AA573"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64" w:history="1">
            <w:r w:rsidRPr="00D45B2C">
              <w:rPr>
                <w:rStyle w:val="Hyperlink"/>
                <w:noProof/>
              </w:rPr>
              <w:t>7.13</w:t>
            </w:r>
            <w:r>
              <w:rPr>
                <w:rFonts w:eastAsiaTheme="minorEastAsia" w:cstheme="minorBidi"/>
                <w:i w:val="0"/>
                <w:iCs w:val="0"/>
                <w:noProof/>
                <w:kern w:val="2"/>
                <w:sz w:val="24"/>
                <w:szCs w:val="24"/>
                <w:lang w:bidi="ar-SA"/>
                <w14:ligatures w14:val="standardContextual"/>
              </w:rPr>
              <w:tab/>
            </w:r>
            <w:r w:rsidRPr="00D45B2C">
              <w:rPr>
                <w:rStyle w:val="Hyperlink"/>
                <w:noProof/>
              </w:rPr>
              <w:t>Support after diagnosis</w:t>
            </w:r>
            <w:r>
              <w:rPr>
                <w:noProof/>
                <w:webHidden/>
              </w:rPr>
              <w:t xml:space="preserve"> </w:t>
            </w:r>
            <w:r>
              <w:rPr>
                <w:noProof/>
                <w:webHidden/>
              </w:rPr>
              <w:fldChar w:fldCharType="begin"/>
            </w:r>
            <w:r>
              <w:rPr>
                <w:noProof/>
                <w:webHidden/>
              </w:rPr>
              <w:instrText xml:space="preserve"> PAGEREF _Toc236218964 \h </w:instrText>
            </w:r>
            <w:r>
              <w:rPr>
                <w:noProof/>
                <w:webHidden/>
              </w:rPr>
            </w:r>
            <w:r>
              <w:rPr>
                <w:noProof/>
                <w:webHidden/>
              </w:rPr>
              <w:fldChar w:fldCharType="separate"/>
            </w:r>
            <w:r w:rsidR="00E636F5">
              <w:rPr>
                <w:noProof/>
                <w:webHidden/>
              </w:rPr>
              <w:t>16</w:t>
            </w:r>
            <w:r>
              <w:rPr>
                <w:noProof/>
                <w:webHidden/>
              </w:rPr>
              <w:fldChar w:fldCharType="end"/>
            </w:r>
          </w:hyperlink>
        </w:p>
        <w:p w14:paraId="13D6DFA8" w14:textId="2F973E33"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65" w:history="1">
            <w:r w:rsidRPr="00D45B2C">
              <w:rPr>
                <w:rStyle w:val="Hyperlink"/>
                <w:noProof/>
              </w:rPr>
              <w:t>7.14</w:t>
            </w:r>
            <w:r>
              <w:rPr>
                <w:rFonts w:eastAsiaTheme="minorEastAsia" w:cstheme="minorBidi"/>
                <w:i w:val="0"/>
                <w:iCs w:val="0"/>
                <w:noProof/>
                <w:kern w:val="2"/>
                <w:sz w:val="24"/>
                <w:szCs w:val="24"/>
                <w:lang w:bidi="ar-SA"/>
                <w14:ligatures w14:val="standardContextual"/>
              </w:rPr>
              <w:tab/>
            </w:r>
            <w:r w:rsidRPr="00D45B2C">
              <w:rPr>
                <w:rStyle w:val="Hyperlink"/>
                <w:noProof/>
              </w:rPr>
              <w:t>Emergency hospital admissions for Dementia</w:t>
            </w:r>
            <w:r>
              <w:rPr>
                <w:noProof/>
                <w:webHidden/>
              </w:rPr>
              <w:t xml:space="preserve"> </w:t>
            </w:r>
            <w:r>
              <w:rPr>
                <w:noProof/>
                <w:webHidden/>
              </w:rPr>
              <w:fldChar w:fldCharType="begin"/>
            </w:r>
            <w:r>
              <w:rPr>
                <w:noProof/>
                <w:webHidden/>
              </w:rPr>
              <w:instrText xml:space="preserve"> PAGEREF _Toc236218965 \h </w:instrText>
            </w:r>
            <w:r>
              <w:rPr>
                <w:noProof/>
                <w:webHidden/>
              </w:rPr>
            </w:r>
            <w:r>
              <w:rPr>
                <w:noProof/>
                <w:webHidden/>
              </w:rPr>
              <w:fldChar w:fldCharType="separate"/>
            </w:r>
            <w:r w:rsidR="00E636F5">
              <w:rPr>
                <w:noProof/>
                <w:webHidden/>
              </w:rPr>
              <w:t>17</w:t>
            </w:r>
            <w:r>
              <w:rPr>
                <w:noProof/>
                <w:webHidden/>
              </w:rPr>
              <w:fldChar w:fldCharType="end"/>
            </w:r>
          </w:hyperlink>
        </w:p>
        <w:p w14:paraId="354EE77B" w14:textId="42AFB3E0"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66" w:history="1">
            <w:r w:rsidRPr="00D45B2C">
              <w:rPr>
                <w:rStyle w:val="Hyperlink"/>
                <w:noProof/>
              </w:rPr>
              <w:t>7.15</w:t>
            </w:r>
            <w:r>
              <w:rPr>
                <w:rFonts w:eastAsiaTheme="minorEastAsia" w:cstheme="minorBidi"/>
                <w:i w:val="0"/>
                <w:iCs w:val="0"/>
                <w:noProof/>
                <w:kern w:val="2"/>
                <w:sz w:val="24"/>
                <w:szCs w:val="24"/>
                <w:lang w:bidi="ar-SA"/>
                <w14:ligatures w14:val="standardContextual"/>
              </w:rPr>
              <w:tab/>
            </w:r>
            <w:r w:rsidRPr="00D45B2C">
              <w:rPr>
                <w:rStyle w:val="Hyperlink"/>
                <w:noProof/>
              </w:rPr>
              <w:t>Prescribing</w:t>
            </w:r>
            <w:r>
              <w:rPr>
                <w:noProof/>
                <w:webHidden/>
              </w:rPr>
              <w:t xml:space="preserve"> </w:t>
            </w:r>
            <w:r>
              <w:rPr>
                <w:noProof/>
                <w:webHidden/>
              </w:rPr>
              <w:fldChar w:fldCharType="begin"/>
            </w:r>
            <w:r>
              <w:rPr>
                <w:noProof/>
                <w:webHidden/>
              </w:rPr>
              <w:instrText xml:space="preserve"> PAGEREF _Toc236218966 \h </w:instrText>
            </w:r>
            <w:r>
              <w:rPr>
                <w:noProof/>
                <w:webHidden/>
              </w:rPr>
            </w:r>
            <w:r>
              <w:rPr>
                <w:noProof/>
                <w:webHidden/>
              </w:rPr>
              <w:fldChar w:fldCharType="separate"/>
            </w:r>
            <w:r w:rsidR="00E636F5">
              <w:rPr>
                <w:noProof/>
                <w:webHidden/>
              </w:rPr>
              <w:t>17</w:t>
            </w:r>
            <w:r>
              <w:rPr>
                <w:noProof/>
                <w:webHidden/>
              </w:rPr>
              <w:fldChar w:fldCharType="end"/>
            </w:r>
          </w:hyperlink>
        </w:p>
        <w:p w14:paraId="2F131D0C" w14:textId="7EC07BB8"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67" w:history="1">
            <w:r w:rsidRPr="00D45B2C">
              <w:rPr>
                <w:rStyle w:val="Hyperlink"/>
                <w:noProof/>
              </w:rPr>
              <w:t>7.16</w:t>
            </w:r>
            <w:r>
              <w:rPr>
                <w:rFonts w:eastAsiaTheme="minorEastAsia" w:cstheme="minorBidi"/>
                <w:i w:val="0"/>
                <w:iCs w:val="0"/>
                <w:noProof/>
                <w:kern w:val="2"/>
                <w:sz w:val="24"/>
                <w:szCs w:val="24"/>
                <w:lang w:bidi="ar-SA"/>
                <w14:ligatures w14:val="standardContextual"/>
              </w:rPr>
              <w:tab/>
            </w:r>
            <w:r w:rsidRPr="00D45B2C">
              <w:rPr>
                <w:rStyle w:val="Hyperlink"/>
                <w:noProof/>
              </w:rPr>
              <w:t>Mortality (Deaths)</w:t>
            </w:r>
            <w:r>
              <w:rPr>
                <w:noProof/>
                <w:webHidden/>
              </w:rPr>
              <w:t xml:space="preserve"> </w:t>
            </w:r>
            <w:r>
              <w:rPr>
                <w:noProof/>
                <w:webHidden/>
              </w:rPr>
              <w:fldChar w:fldCharType="begin"/>
            </w:r>
            <w:r>
              <w:rPr>
                <w:noProof/>
                <w:webHidden/>
              </w:rPr>
              <w:instrText xml:space="preserve"> PAGEREF _Toc236218967 \h </w:instrText>
            </w:r>
            <w:r>
              <w:rPr>
                <w:noProof/>
                <w:webHidden/>
              </w:rPr>
            </w:r>
            <w:r>
              <w:rPr>
                <w:noProof/>
                <w:webHidden/>
              </w:rPr>
              <w:fldChar w:fldCharType="separate"/>
            </w:r>
            <w:r w:rsidR="00E636F5">
              <w:rPr>
                <w:noProof/>
                <w:webHidden/>
              </w:rPr>
              <w:t>18</w:t>
            </w:r>
            <w:r>
              <w:rPr>
                <w:noProof/>
                <w:webHidden/>
              </w:rPr>
              <w:fldChar w:fldCharType="end"/>
            </w:r>
          </w:hyperlink>
        </w:p>
        <w:p w14:paraId="0B4E1427" w14:textId="61DE6B81"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68" w:history="1">
            <w:r w:rsidRPr="00D45B2C">
              <w:rPr>
                <w:rStyle w:val="Hyperlink"/>
                <w:noProof/>
              </w:rPr>
              <w:t>7.17</w:t>
            </w:r>
            <w:r>
              <w:rPr>
                <w:rFonts w:eastAsiaTheme="minorEastAsia" w:cstheme="minorBidi"/>
                <w:i w:val="0"/>
                <w:iCs w:val="0"/>
                <w:noProof/>
                <w:kern w:val="2"/>
                <w:sz w:val="24"/>
                <w:szCs w:val="24"/>
                <w:lang w:bidi="ar-SA"/>
                <w14:ligatures w14:val="standardContextual"/>
              </w:rPr>
              <w:tab/>
            </w:r>
            <w:r w:rsidRPr="00D45B2C">
              <w:rPr>
                <w:rStyle w:val="Hyperlink"/>
                <w:noProof/>
              </w:rPr>
              <w:t>Place of death of people with Dementia aged 65+</w:t>
            </w:r>
            <w:r>
              <w:rPr>
                <w:noProof/>
                <w:webHidden/>
              </w:rPr>
              <w:t xml:space="preserve"> </w:t>
            </w:r>
            <w:r>
              <w:rPr>
                <w:noProof/>
                <w:webHidden/>
              </w:rPr>
              <w:fldChar w:fldCharType="begin"/>
            </w:r>
            <w:r>
              <w:rPr>
                <w:noProof/>
                <w:webHidden/>
              </w:rPr>
              <w:instrText xml:space="preserve"> PAGEREF _Toc236218968 \h </w:instrText>
            </w:r>
            <w:r>
              <w:rPr>
                <w:noProof/>
                <w:webHidden/>
              </w:rPr>
            </w:r>
            <w:r>
              <w:rPr>
                <w:noProof/>
                <w:webHidden/>
              </w:rPr>
              <w:fldChar w:fldCharType="separate"/>
            </w:r>
            <w:r w:rsidR="00E636F5">
              <w:rPr>
                <w:noProof/>
                <w:webHidden/>
              </w:rPr>
              <w:t>19</w:t>
            </w:r>
            <w:r>
              <w:rPr>
                <w:noProof/>
                <w:webHidden/>
              </w:rPr>
              <w:fldChar w:fldCharType="end"/>
            </w:r>
          </w:hyperlink>
        </w:p>
        <w:p w14:paraId="4D67D7E3" w14:textId="1FEE5150" w:rsidR="001B0222" w:rsidRDefault="001B0222">
          <w:pPr>
            <w:pStyle w:val="TOC1"/>
            <w:tabs>
              <w:tab w:val="left" w:pos="660"/>
              <w:tab w:val="right" w:pos="10600"/>
            </w:tabs>
            <w:rPr>
              <w:rFonts w:eastAsiaTheme="minorEastAsia" w:cstheme="minorBidi"/>
              <w:b w:val="0"/>
              <w:bCs w:val="0"/>
              <w:noProof/>
              <w:kern w:val="2"/>
              <w:sz w:val="24"/>
              <w:szCs w:val="24"/>
              <w:lang w:bidi="ar-SA"/>
              <w14:ligatures w14:val="standardContextual"/>
            </w:rPr>
          </w:pPr>
          <w:hyperlink w:anchor="_Toc236218969" w:history="1">
            <w:r w:rsidRPr="00D45B2C">
              <w:rPr>
                <w:rStyle w:val="Hyperlink"/>
                <w:noProof/>
              </w:rPr>
              <w:t>8.0</w:t>
            </w:r>
            <w:r>
              <w:rPr>
                <w:rFonts w:eastAsiaTheme="minorEastAsia" w:cstheme="minorBidi"/>
                <w:b w:val="0"/>
                <w:bCs w:val="0"/>
                <w:noProof/>
                <w:kern w:val="2"/>
                <w:sz w:val="24"/>
                <w:szCs w:val="24"/>
                <w:lang w:bidi="ar-SA"/>
                <w14:ligatures w14:val="standardContextual"/>
              </w:rPr>
              <w:tab/>
            </w:r>
            <w:r w:rsidRPr="00D45B2C">
              <w:rPr>
                <w:rStyle w:val="Hyperlink"/>
                <w:noProof/>
              </w:rPr>
              <w:t>LOCAL SERVICE PROVISION</w:t>
            </w:r>
            <w:r>
              <w:rPr>
                <w:noProof/>
                <w:webHidden/>
              </w:rPr>
              <w:t xml:space="preserve"> </w:t>
            </w:r>
            <w:r>
              <w:rPr>
                <w:noProof/>
                <w:webHidden/>
              </w:rPr>
              <w:fldChar w:fldCharType="begin"/>
            </w:r>
            <w:r>
              <w:rPr>
                <w:noProof/>
                <w:webHidden/>
              </w:rPr>
              <w:instrText xml:space="preserve"> PAGEREF _Toc236218969 \h </w:instrText>
            </w:r>
            <w:r>
              <w:rPr>
                <w:noProof/>
                <w:webHidden/>
              </w:rPr>
            </w:r>
            <w:r>
              <w:rPr>
                <w:noProof/>
                <w:webHidden/>
              </w:rPr>
              <w:fldChar w:fldCharType="separate"/>
            </w:r>
            <w:r w:rsidR="00E636F5">
              <w:rPr>
                <w:noProof/>
                <w:webHidden/>
              </w:rPr>
              <w:t>20</w:t>
            </w:r>
            <w:r>
              <w:rPr>
                <w:noProof/>
                <w:webHidden/>
              </w:rPr>
              <w:fldChar w:fldCharType="end"/>
            </w:r>
          </w:hyperlink>
        </w:p>
        <w:p w14:paraId="23D1F064" w14:textId="12828D85" w:rsidR="001B0222" w:rsidRDefault="001B0222">
          <w:pPr>
            <w:pStyle w:val="TOC1"/>
            <w:tabs>
              <w:tab w:val="left" w:pos="660"/>
              <w:tab w:val="right" w:pos="10600"/>
            </w:tabs>
            <w:rPr>
              <w:rFonts w:eastAsiaTheme="minorEastAsia" w:cstheme="minorBidi"/>
              <w:b w:val="0"/>
              <w:bCs w:val="0"/>
              <w:noProof/>
              <w:kern w:val="2"/>
              <w:sz w:val="24"/>
              <w:szCs w:val="24"/>
              <w:lang w:bidi="ar-SA"/>
              <w14:ligatures w14:val="standardContextual"/>
            </w:rPr>
          </w:pPr>
          <w:hyperlink w:anchor="_Toc236218970" w:history="1">
            <w:r w:rsidRPr="00D45B2C">
              <w:rPr>
                <w:rStyle w:val="Hyperlink"/>
                <w:noProof/>
              </w:rPr>
              <w:t>9.0</w:t>
            </w:r>
            <w:r>
              <w:rPr>
                <w:rFonts w:eastAsiaTheme="minorEastAsia" w:cstheme="minorBidi"/>
                <w:b w:val="0"/>
                <w:bCs w:val="0"/>
                <w:noProof/>
                <w:kern w:val="2"/>
                <w:sz w:val="24"/>
                <w:szCs w:val="24"/>
                <w:lang w:bidi="ar-SA"/>
                <w14:ligatures w14:val="standardContextual"/>
              </w:rPr>
              <w:tab/>
            </w:r>
            <w:r w:rsidRPr="00D45B2C">
              <w:rPr>
                <w:rStyle w:val="Hyperlink"/>
                <w:noProof/>
              </w:rPr>
              <w:t>CARERS AND SUPPORT</w:t>
            </w:r>
            <w:r>
              <w:rPr>
                <w:noProof/>
                <w:webHidden/>
              </w:rPr>
              <w:t xml:space="preserve"> </w:t>
            </w:r>
            <w:r>
              <w:rPr>
                <w:noProof/>
                <w:webHidden/>
              </w:rPr>
              <w:fldChar w:fldCharType="begin"/>
            </w:r>
            <w:r>
              <w:rPr>
                <w:noProof/>
                <w:webHidden/>
              </w:rPr>
              <w:instrText xml:space="preserve"> PAGEREF _Toc236218970 \h </w:instrText>
            </w:r>
            <w:r>
              <w:rPr>
                <w:noProof/>
                <w:webHidden/>
              </w:rPr>
            </w:r>
            <w:r>
              <w:rPr>
                <w:noProof/>
                <w:webHidden/>
              </w:rPr>
              <w:fldChar w:fldCharType="separate"/>
            </w:r>
            <w:r w:rsidR="00E636F5">
              <w:rPr>
                <w:noProof/>
                <w:webHidden/>
              </w:rPr>
              <w:t>22</w:t>
            </w:r>
            <w:r>
              <w:rPr>
                <w:noProof/>
                <w:webHidden/>
              </w:rPr>
              <w:fldChar w:fldCharType="end"/>
            </w:r>
          </w:hyperlink>
        </w:p>
        <w:p w14:paraId="47FFE666" w14:textId="6D5FBA14" w:rsidR="001B0222" w:rsidRDefault="001B0222">
          <w:pPr>
            <w:pStyle w:val="TOC1"/>
            <w:tabs>
              <w:tab w:val="left" w:pos="660"/>
              <w:tab w:val="right" w:pos="10600"/>
            </w:tabs>
            <w:rPr>
              <w:rFonts w:eastAsiaTheme="minorEastAsia" w:cstheme="minorBidi"/>
              <w:b w:val="0"/>
              <w:bCs w:val="0"/>
              <w:noProof/>
              <w:kern w:val="2"/>
              <w:sz w:val="24"/>
              <w:szCs w:val="24"/>
              <w:lang w:bidi="ar-SA"/>
              <w14:ligatures w14:val="standardContextual"/>
            </w:rPr>
          </w:pPr>
          <w:hyperlink w:anchor="_Toc236218971" w:history="1">
            <w:r w:rsidRPr="00D45B2C">
              <w:rPr>
                <w:rStyle w:val="Hyperlink"/>
                <w:noProof/>
              </w:rPr>
              <w:t>10.0</w:t>
            </w:r>
            <w:r>
              <w:rPr>
                <w:rFonts w:eastAsiaTheme="minorEastAsia" w:cstheme="minorBidi"/>
                <w:b w:val="0"/>
                <w:bCs w:val="0"/>
                <w:noProof/>
                <w:kern w:val="2"/>
                <w:sz w:val="24"/>
                <w:szCs w:val="24"/>
                <w:lang w:bidi="ar-SA"/>
                <w14:ligatures w14:val="standardContextual"/>
              </w:rPr>
              <w:tab/>
            </w:r>
            <w:r w:rsidRPr="00D45B2C">
              <w:rPr>
                <w:rStyle w:val="Hyperlink"/>
                <w:noProof/>
              </w:rPr>
              <w:t xml:space="preserve">END OF LIFE CARE </w:t>
            </w:r>
            <w:r w:rsidRPr="00D45B2C">
              <w:rPr>
                <w:rStyle w:val="Hyperlink"/>
                <w:noProof/>
                <w:vertAlign w:val="superscript"/>
              </w:rPr>
              <w:t>11</w:t>
            </w:r>
            <w:r>
              <w:rPr>
                <w:noProof/>
                <w:webHidden/>
              </w:rPr>
              <w:t xml:space="preserve"> </w:t>
            </w:r>
            <w:r>
              <w:rPr>
                <w:noProof/>
                <w:webHidden/>
              </w:rPr>
              <w:fldChar w:fldCharType="begin"/>
            </w:r>
            <w:r>
              <w:rPr>
                <w:noProof/>
                <w:webHidden/>
              </w:rPr>
              <w:instrText xml:space="preserve"> PAGEREF _Toc236218971 \h </w:instrText>
            </w:r>
            <w:r>
              <w:rPr>
                <w:noProof/>
                <w:webHidden/>
              </w:rPr>
            </w:r>
            <w:r>
              <w:rPr>
                <w:noProof/>
                <w:webHidden/>
              </w:rPr>
              <w:fldChar w:fldCharType="separate"/>
            </w:r>
            <w:r w:rsidR="00E636F5">
              <w:rPr>
                <w:noProof/>
                <w:webHidden/>
              </w:rPr>
              <w:t>23</w:t>
            </w:r>
            <w:r>
              <w:rPr>
                <w:noProof/>
                <w:webHidden/>
              </w:rPr>
              <w:fldChar w:fldCharType="end"/>
            </w:r>
          </w:hyperlink>
        </w:p>
        <w:p w14:paraId="3F36A821" w14:textId="1E07CB2C" w:rsidR="001B0222" w:rsidRDefault="001B0222" w:rsidP="001D0B6E">
          <w:pPr>
            <w:pStyle w:val="TOC1"/>
            <w:tabs>
              <w:tab w:val="right" w:pos="10600"/>
            </w:tabs>
            <w:spacing w:before="220"/>
            <w:rPr>
              <w:rFonts w:eastAsiaTheme="minorEastAsia" w:cstheme="minorBidi"/>
              <w:b w:val="0"/>
              <w:bCs w:val="0"/>
              <w:noProof/>
              <w:kern w:val="2"/>
              <w:sz w:val="24"/>
              <w:szCs w:val="24"/>
              <w:lang w:bidi="ar-SA"/>
              <w14:ligatures w14:val="standardContextual"/>
            </w:rPr>
          </w:pPr>
          <w:hyperlink w:anchor="_Toc236218972" w:history="1">
            <w:r w:rsidRPr="00D45B2C">
              <w:rPr>
                <w:rStyle w:val="Hyperlink"/>
                <w:noProof/>
              </w:rPr>
              <w:t>11.0    COMMUNITY, PATIENT AND STAKEHOLDER VIEWS</w:t>
            </w:r>
            <w:r>
              <w:rPr>
                <w:noProof/>
                <w:webHidden/>
              </w:rPr>
              <w:t xml:space="preserve"> </w:t>
            </w:r>
            <w:r>
              <w:rPr>
                <w:noProof/>
                <w:webHidden/>
              </w:rPr>
              <w:fldChar w:fldCharType="begin"/>
            </w:r>
            <w:r>
              <w:rPr>
                <w:noProof/>
                <w:webHidden/>
              </w:rPr>
              <w:instrText xml:space="preserve"> PAGEREF _Toc236218972 \h </w:instrText>
            </w:r>
            <w:r>
              <w:rPr>
                <w:noProof/>
                <w:webHidden/>
              </w:rPr>
            </w:r>
            <w:r>
              <w:rPr>
                <w:noProof/>
                <w:webHidden/>
              </w:rPr>
              <w:fldChar w:fldCharType="separate"/>
            </w:r>
            <w:r w:rsidR="00E636F5">
              <w:rPr>
                <w:noProof/>
                <w:webHidden/>
              </w:rPr>
              <w:t>23</w:t>
            </w:r>
            <w:r>
              <w:rPr>
                <w:noProof/>
                <w:webHidden/>
              </w:rPr>
              <w:fldChar w:fldCharType="end"/>
            </w:r>
          </w:hyperlink>
        </w:p>
        <w:p w14:paraId="2EDCC1FF" w14:textId="1D228A49" w:rsidR="001B0222" w:rsidRDefault="001B0222">
          <w:pPr>
            <w:pStyle w:val="TOC1"/>
            <w:tabs>
              <w:tab w:val="left" w:pos="660"/>
              <w:tab w:val="right" w:pos="10600"/>
            </w:tabs>
            <w:rPr>
              <w:rFonts w:eastAsiaTheme="minorEastAsia" w:cstheme="minorBidi"/>
              <w:b w:val="0"/>
              <w:bCs w:val="0"/>
              <w:noProof/>
              <w:kern w:val="2"/>
              <w:sz w:val="24"/>
              <w:szCs w:val="24"/>
              <w:lang w:bidi="ar-SA"/>
              <w14:ligatures w14:val="standardContextual"/>
            </w:rPr>
          </w:pPr>
          <w:hyperlink w:anchor="_Toc236218973" w:history="1">
            <w:r w:rsidRPr="00D45B2C">
              <w:rPr>
                <w:rStyle w:val="Hyperlink"/>
                <w:noProof/>
              </w:rPr>
              <w:t>12.0</w:t>
            </w:r>
            <w:r>
              <w:rPr>
                <w:rFonts w:eastAsiaTheme="minorEastAsia" w:cstheme="minorBidi"/>
                <w:b w:val="0"/>
                <w:bCs w:val="0"/>
                <w:noProof/>
                <w:kern w:val="2"/>
                <w:sz w:val="24"/>
                <w:szCs w:val="24"/>
                <w:lang w:bidi="ar-SA"/>
                <w14:ligatures w14:val="standardContextual"/>
              </w:rPr>
              <w:tab/>
            </w:r>
            <w:r w:rsidRPr="00D45B2C">
              <w:rPr>
                <w:rStyle w:val="Hyperlink"/>
                <w:noProof/>
              </w:rPr>
              <w:t>EVIDENCE OF WHAT WORKS</w:t>
            </w:r>
            <w:r>
              <w:rPr>
                <w:noProof/>
                <w:webHidden/>
              </w:rPr>
              <w:t xml:space="preserve"> </w:t>
            </w:r>
            <w:r>
              <w:rPr>
                <w:noProof/>
                <w:webHidden/>
              </w:rPr>
              <w:fldChar w:fldCharType="begin"/>
            </w:r>
            <w:r>
              <w:rPr>
                <w:noProof/>
                <w:webHidden/>
              </w:rPr>
              <w:instrText xml:space="preserve"> PAGEREF _Toc236218973 \h </w:instrText>
            </w:r>
            <w:r>
              <w:rPr>
                <w:noProof/>
                <w:webHidden/>
              </w:rPr>
            </w:r>
            <w:r>
              <w:rPr>
                <w:noProof/>
                <w:webHidden/>
              </w:rPr>
              <w:fldChar w:fldCharType="separate"/>
            </w:r>
            <w:r w:rsidR="00E636F5">
              <w:rPr>
                <w:noProof/>
                <w:webHidden/>
              </w:rPr>
              <w:t>24</w:t>
            </w:r>
            <w:r>
              <w:rPr>
                <w:noProof/>
                <w:webHidden/>
              </w:rPr>
              <w:fldChar w:fldCharType="end"/>
            </w:r>
          </w:hyperlink>
        </w:p>
        <w:p w14:paraId="660B1C77" w14:textId="4C79E81C" w:rsidR="001B0222" w:rsidRDefault="001B0222" w:rsidP="00E636F5">
          <w:pPr>
            <w:pStyle w:val="TOC2"/>
            <w:tabs>
              <w:tab w:val="left" w:pos="880"/>
              <w:tab w:val="right" w:pos="10600"/>
            </w:tabs>
            <w:spacing w:before="0"/>
            <w:rPr>
              <w:rFonts w:eastAsiaTheme="minorEastAsia" w:cstheme="minorBidi"/>
              <w:i w:val="0"/>
              <w:iCs w:val="0"/>
              <w:noProof/>
              <w:kern w:val="2"/>
              <w:sz w:val="24"/>
              <w:szCs w:val="24"/>
              <w:lang w:bidi="ar-SA"/>
              <w14:ligatures w14:val="standardContextual"/>
            </w:rPr>
          </w:pPr>
          <w:hyperlink w:anchor="_Toc236218974" w:history="1">
            <w:r w:rsidRPr="00D45B2C">
              <w:rPr>
                <w:rStyle w:val="Hyperlink"/>
                <w:noProof/>
              </w:rPr>
              <w:t>12.1</w:t>
            </w:r>
            <w:r>
              <w:rPr>
                <w:rFonts w:eastAsiaTheme="minorEastAsia" w:cstheme="minorBidi"/>
                <w:i w:val="0"/>
                <w:iCs w:val="0"/>
                <w:noProof/>
                <w:kern w:val="2"/>
                <w:sz w:val="24"/>
                <w:szCs w:val="24"/>
                <w:lang w:bidi="ar-SA"/>
                <w14:ligatures w14:val="standardContextual"/>
              </w:rPr>
              <w:tab/>
            </w:r>
            <w:r w:rsidRPr="00D45B2C">
              <w:rPr>
                <w:rStyle w:val="Hyperlink"/>
                <w:noProof/>
              </w:rPr>
              <w:t>Diagnosis</w:t>
            </w:r>
            <w:r>
              <w:rPr>
                <w:noProof/>
                <w:webHidden/>
              </w:rPr>
              <w:t xml:space="preserve"> </w:t>
            </w:r>
            <w:r>
              <w:rPr>
                <w:noProof/>
                <w:webHidden/>
              </w:rPr>
              <w:fldChar w:fldCharType="begin"/>
            </w:r>
            <w:r>
              <w:rPr>
                <w:noProof/>
                <w:webHidden/>
              </w:rPr>
              <w:instrText xml:space="preserve"> PAGEREF _Toc236218974 \h </w:instrText>
            </w:r>
            <w:r>
              <w:rPr>
                <w:noProof/>
                <w:webHidden/>
              </w:rPr>
            </w:r>
            <w:r>
              <w:rPr>
                <w:noProof/>
                <w:webHidden/>
              </w:rPr>
              <w:fldChar w:fldCharType="separate"/>
            </w:r>
            <w:r w:rsidR="00E636F5">
              <w:rPr>
                <w:noProof/>
                <w:webHidden/>
              </w:rPr>
              <w:t>24</w:t>
            </w:r>
            <w:r>
              <w:rPr>
                <w:noProof/>
                <w:webHidden/>
              </w:rPr>
              <w:fldChar w:fldCharType="end"/>
            </w:r>
          </w:hyperlink>
        </w:p>
        <w:p w14:paraId="534FF059" w14:textId="1A4DFC8D" w:rsidR="001B0222" w:rsidRDefault="001B0222" w:rsidP="00E636F5">
          <w:pPr>
            <w:pStyle w:val="TOC2"/>
            <w:tabs>
              <w:tab w:val="left" w:pos="880"/>
              <w:tab w:val="right" w:pos="10600"/>
            </w:tabs>
            <w:spacing w:before="0"/>
            <w:rPr>
              <w:rFonts w:eastAsiaTheme="minorEastAsia" w:cstheme="minorBidi"/>
              <w:i w:val="0"/>
              <w:iCs w:val="0"/>
              <w:noProof/>
              <w:kern w:val="2"/>
              <w:sz w:val="24"/>
              <w:szCs w:val="24"/>
              <w:lang w:bidi="ar-SA"/>
              <w14:ligatures w14:val="standardContextual"/>
            </w:rPr>
          </w:pPr>
          <w:hyperlink w:anchor="_Toc236218975" w:history="1">
            <w:r w:rsidRPr="00D45B2C">
              <w:rPr>
                <w:rStyle w:val="Hyperlink"/>
                <w:noProof/>
              </w:rPr>
              <w:t>12.2</w:t>
            </w:r>
            <w:r>
              <w:rPr>
                <w:rFonts w:eastAsiaTheme="minorEastAsia" w:cstheme="minorBidi"/>
                <w:i w:val="0"/>
                <w:iCs w:val="0"/>
                <w:noProof/>
                <w:kern w:val="2"/>
                <w:sz w:val="24"/>
                <w:szCs w:val="24"/>
                <w:lang w:bidi="ar-SA"/>
                <w14:ligatures w14:val="standardContextual"/>
              </w:rPr>
              <w:tab/>
            </w:r>
            <w:r w:rsidRPr="00D45B2C">
              <w:rPr>
                <w:rStyle w:val="Hyperlink"/>
                <w:noProof/>
              </w:rPr>
              <w:t>Models of Care</w:t>
            </w:r>
            <w:r>
              <w:rPr>
                <w:noProof/>
                <w:webHidden/>
              </w:rPr>
              <w:t xml:space="preserve"> </w:t>
            </w:r>
            <w:r>
              <w:rPr>
                <w:noProof/>
                <w:webHidden/>
              </w:rPr>
              <w:fldChar w:fldCharType="begin"/>
            </w:r>
            <w:r>
              <w:rPr>
                <w:noProof/>
                <w:webHidden/>
              </w:rPr>
              <w:instrText xml:space="preserve"> PAGEREF _Toc236218975 \h </w:instrText>
            </w:r>
            <w:r>
              <w:rPr>
                <w:noProof/>
                <w:webHidden/>
              </w:rPr>
            </w:r>
            <w:r>
              <w:rPr>
                <w:noProof/>
                <w:webHidden/>
              </w:rPr>
              <w:fldChar w:fldCharType="separate"/>
            </w:r>
            <w:r w:rsidR="00E636F5">
              <w:rPr>
                <w:noProof/>
                <w:webHidden/>
              </w:rPr>
              <w:t>25</w:t>
            </w:r>
            <w:r>
              <w:rPr>
                <w:noProof/>
                <w:webHidden/>
              </w:rPr>
              <w:fldChar w:fldCharType="end"/>
            </w:r>
          </w:hyperlink>
        </w:p>
        <w:p w14:paraId="3CC46E7C" w14:textId="3CA32882" w:rsidR="001B0222" w:rsidRDefault="001B0222" w:rsidP="00E636F5">
          <w:pPr>
            <w:pStyle w:val="TOC2"/>
            <w:tabs>
              <w:tab w:val="left" w:pos="880"/>
              <w:tab w:val="right" w:pos="10600"/>
            </w:tabs>
            <w:spacing w:before="0"/>
            <w:rPr>
              <w:rFonts w:eastAsiaTheme="minorEastAsia" w:cstheme="minorBidi"/>
              <w:i w:val="0"/>
              <w:iCs w:val="0"/>
              <w:noProof/>
              <w:kern w:val="2"/>
              <w:sz w:val="24"/>
              <w:szCs w:val="24"/>
              <w:lang w:bidi="ar-SA"/>
              <w14:ligatures w14:val="standardContextual"/>
            </w:rPr>
          </w:pPr>
          <w:hyperlink w:anchor="_Toc236218976" w:history="1">
            <w:r w:rsidRPr="00D45B2C">
              <w:rPr>
                <w:rStyle w:val="Hyperlink"/>
                <w:noProof/>
              </w:rPr>
              <w:t>12.3</w:t>
            </w:r>
            <w:r>
              <w:rPr>
                <w:rFonts w:eastAsiaTheme="minorEastAsia" w:cstheme="minorBidi"/>
                <w:i w:val="0"/>
                <w:iCs w:val="0"/>
                <w:noProof/>
                <w:kern w:val="2"/>
                <w:sz w:val="24"/>
                <w:szCs w:val="24"/>
                <w:lang w:bidi="ar-SA"/>
                <w14:ligatures w14:val="standardContextual"/>
              </w:rPr>
              <w:tab/>
            </w:r>
            <w:r w:rsidRPr="00D45B2C">
              <w:rPr>
                <w:rStyle w:val="Hyperlink"/>
                <w:noProof/>
              </w:rPr>
              <w:t>National Transformation Framework</w:t>
            </w:r>
            <w:r>
              <w:rPr>
                <w:noProof/>
                <w:webHidden/>
              </w:rPr>
              <w:t xml:space="preserve"> </w:t>
            </w:r>
            <w:r>
              <w:rPr>
                <w:noProof/>
                <w:webHidden/>
              </w:rPr>
              <w:fldChar w:fldCharType="begin"/>
            </w:r>
            <w:r>
              <w:rPr>
                <w:noProof/>
                <w:webHidden/>
              </w:rPr>
              <w:instrText xml:space="preserve"> PAGEREF _Toc236218976 \h </w:instrText>
            </w:r>
            <w:r>
              <w:rPr>
                <w:noProof/>
                <w:webHidden/>
              </w:rPr>
            </w:r>
            <w:r>
              <w:rPr>
                <w:noProof/>
                <w:webHidden/>
              </w:rPr>
              <w:fldChar w:fldCharType="separate"/>
            </w:r>
            <w:r w:rsidR="00E636F5">
              <w:rPr>
                <w:noProof/>
                <w:webHidden/>
              </w:rPr>
              <w:t>25</w:t>
            </w:r>
            <w:r>
              <w:rPr>
                <w:noProof/>
                <w:webHidden/>
              </w:rPr>
              <w:fldChar w:fldCharType="end"/>
            </w:r>
          </w:hyperlink>
        </w:p>
        <w:p w14:paraId="56CF50F4" w14:textId="2896434D"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77" w:history="1">
            <w:r w:rsidRPr="00D45B2C">
              <w:rPr>
                <w:rStyle w:val="Hyperlink"/>
                <w:noProof/>
              </w:rPr>
              <w:t>12.4</w:t>
            </w:r>
            <w:r>
              <w:rPr>
                <w:rFonts w:eastAsiaTheme="minorEastAsia" w:cstheme="minorBidi"/>
                <w:i w:val="0"/>
                <w:iCs w:val="0"/>
                <w:noProof/>
                <w:kern w:val="2"/>
                <w:sz w:val="24"/>
                <w:szCs w:val="24"/>
                <w:lang w:bidi="ar-SA"/>
                <w14:ligatures w14:val="standardContextual"/>
              </w:rPr>
              <w:tab/>
            </w:r>
            <w:r w:rsidRPr="00D45B2C">
              <w:rPr>
                <w:rStyle w:val="Hyperlink"/>
                <w:noProof/>
              </w:rPr>
              <w:t>Dementia Friendly Areas</w:t>
            </w:r>
            <w:r>
              <w:rPr>
                <w:noProof/>
                <w:webHidden/>
              </w:rPr>
              <w:t xml:space="preserve"> </w:t>
            </w:r>
            <w:r>
              <w:rPr>
                <w:noProof/>
                <w:webHidden/>
              </w:rPr>
              <w:fldChar w:fldCharType="begin"/>
            </w:r>
            <w:r>
              <w:rPr>
                <w:noProof/>
                <w:webHidden/>
              </w:rPr>
              <w:instrText xml:space="preserve"> PAGEREF _Toc236218977 \h </w:instrText>
            </w:r>
            <w:r>
              <w:rPr>
                <w:noProof/>
                <w:webHidden/>
              </w:rPr>
            </w:r>
            <w:r>
              <w:rPr>
                <w:noProof/>
                <w:webHidden/>
              </w:rPr>
              <w:fldChar w:fldCharType="separate"/>
            </w:r>
            <w:r w:rsidR="00E636F5">
              <w:rPr>
                <w:noProof/>
                <w:webHidden/>
              </w:rPr>
              <w:t>26</w:t>
            </w:r>
            <w:r>
              <w:rPr>
                <w:noProof/>
                <w:webHidden/>
              </w:rPr>
              <w:fldChar w:fldCharType="end"/>
            </w:r>
          </w:hyperlink>
        </w:p>
        <w:p w14:paraId="6A618C89" w14:textId="59FDE853" w:rsidR="001B0222" w:rsidRDefault="001B0222" w:rsidP="00E636F5">
          <w:pPr>
            <w:pStyle w:val="TOC2"/>
            <w:tabs>
              <w:tab w:val="left" w:pos="880"/>
              <w:tab w:val="right" w:pos="10600"/>
            </w:tabs>
            <w:spacing w:before="0"/>
            <w:ind w:left="221"/>
            <w:rPr>
              <w:rFonts w:eastAsiaTheme="minorEastAsia" w:cstheme="minorBidi"/>
              <w:i w:val="0"/>
              <w:iCs w:val="0"/>
              <w:noProof/>
              <w:kern w:val="2"/>
              <w:sz w:val="24"/>
              <w:szCs w:val="24"/>
              <w:lang w:bidi="ar-SA"/>
              <w14:ligatures w14:val="standardContextual"/>
            </w:rPr>
          </w:pPr>
          <w:hyperlink w:anchor="_Toc236218978" w:history="1">
            <w:r w:rsidRPr="00D45B2C">
              <w:rPr>
                <w:rStyle w:val="Hyperlink"/>
                <w:noProof/>
              </w:rPr>
              <w:t>12.5</w:t>
            </w:r>
            <w:r>
              <w:rPr>
                <w:rFonts w:eastAsiaTheme="minorEastAsia" w:cstheme="minorBidi"/>
                <w:i w:val="0"/>
                <w:iCs w:val="0"/>
                <w:noProof/>
                <w:kern w:val="2"/>
                <w:sz w:val="24"/>
                <w:szCs w:val="24"/>
                <w:lang w:bidi="ar-SA"/>
                <w14:ligatures w14:val="standardContextual"/>
              </w:rPr>
              <w:tab/>
            </w:r>
            <w:r w:rsidRPr="00D45B2C">
              <w:rPr>
                <w:rStyle w:val="Hyperlink"/>
                <w:noProof/>
              </w:rPr>
              <w:t>Alzheimer’s Society: Knowsley Dementia Support Services Impact Report 2021-2024</w:t>
            </w:r>
            <w:r>
              <w:rPr>
                <w:noProof/>
                <w:webHidden/>
              </w:rPr>
              <w:t xml:space="preserve"> </w:t>
            </w:r>
            <w:r>
              <w:rPr>
                <w:noProof/>
                <w:webHidden/>
              </w:rPr>
              <w:fldChar w:fldCharType="begin"/>
            </w:r>
            <w:r>
              <w:rPr>
                <w:noProof/>
                <w:webHidden/>
              </w:rPr>
              <w:instrText xml:space="preserve"> PAGEREF _Toc236218978 \h </w:instrText>
            </w:r>
            <w:r>
              <w:rPr>
                <w:noProof/>
                <w:webHidden/>
              </w:rPr>
            </w:r>
            <w:r>
              <w:rPr>
                <w:noProof/>
                <w:webHidden/>
              </w:rPr>
              <w:fldChar w:fldCharType="separate"/>
            </w:r>
            <w:r w:rsidR="00E636F5">
              <w:rPr>
                <w:noProof/>
                <w:webHidden/>
              </w:rPr>
              <w:t>26</w:t>
            </w:r>
            <w:r>
              <w:rPr>
                <w:noProof/>
                <w:webHidden/>
              </w:rPr>
              <w:fldChar w:fldCharType="end"/>
            </w:r>
          </w:hyperlink>
        </w:p>
        <w:p w14:paraId="3B595330" w14:textId="67DE9A53" w:rsidR="001B0222" w:rsidRDefault="001B0222">
          <w:pPr>
            <w:pStyle w:val="TOC1"/>
            <w:tabs>
              <w:tab w:val="left" w:pos="660"/>
              <w:tab w:val="right" w:pos="10600"/>
            </w:tabs>
            <w:rPr>
              <w:rFonts w:eastAsiaTheme="minorEastAsia" w:cstheme="minorBidi"/>
              <w:b w:val="0"/>
              <w:bCs w:val="0"/>
              <w:noProof/>
              <w:kern w:val="2"/>
              <w:sz w:val="24"/>
              <w:szCs w:val="24"/>
              <w:lang w:bidi="ar-SA"/>
              <w14:ligatures w14:val="standardContextual"/>
            </w:rPr>
          </w:pPr>
          <w:hyperlink w:anchor="_Toc236218979" w:history="1">
            <w:r w:rsidRPr="00D45B2C">
              <w:rPr>
                <w:rStyle w:val="Hyperlink"/>
                <w:noProof/>
              </w:rPr>
              <w:t>13.0</w:t>
            </w:r>
            <w:r>
              <w:rPr>
                <w:rFonts w:eastAsiaTheme="minorEastAsia" w:cstheme="minorBidi"/>
                <w:b w:val="0"/>
                <w:bCs w:val="0"/>
                <w:noProof/>
                <w:kern w:val="2"/>
                <w:sz w:val="24"/>
                <w:szCs w:val="24"/>
                <w:lang w:bidi="ar-SA"/>
                <w14:ligatures w14:val="standardContextual"/>
              </w:rPr>
              <w:tab/>
            </w:r>
            <w:r w:rsidRPr="00D45B2C">
              <w:rPr>
                <w:rStyle w:val="Hyperlink"/>
                <w:noProof/>
              </w:rPr>
              <w:t>FUTURE CHALLENGES</w:t>
            </w:r>
            <w:r>
              <w:rPr>
                <w:noProof/>
                <w:webHidden/>
              </w:rPr>
              <w:t xml:space="preserve"> </w:t>
            </w:r>
            <w:r>
              <w:rPr>
                <w:noProof/>
                <w:webHidden/>
              </w:rPr>
              <w:fldChar w:fldCharType="begin"/>
            </w:r>
            <w:r>
              <w:rPr>
                <w:noProof/>
                <w:webHidden/>
              </w:rPr>
              <w:instrText xml:space="preserve"> PAGEREF _Toc236218979 \h </w:instrText>
            </w:r>
            <w:r>
              <w:rPr>
                <w:noProof/>
                <w:webHidden/>
              </w:rPr>
            </w:r>
            <w:r>
              <w:rPr>
                <w:noProof/>
                <w:webHidden/>
              </w:rPr>
              <w:fldChar w:fldCharType="separate"/>
            </w:r>
            <w:r w:rsidR="00E636F5">
              <w:rPr>
                <w:noProof/>
                <w:webHidden/>
              </w:rPr>
              <w:t>27</w:t>
            </w:r>
            <w:r>
              <w:rPr>
                <w:noProof/>
                <w:webHidden/>
              </w:rPr>
              <w:fldChar w:fldCharType="end"/>
            </w:r>
          </w:hyperlink>
        </w:p>
        <w:p w14:paraId="6CD93618" w14:textId="0240B377" w:rsidR="001B0222" w:rsidRDefault="001B0222">
          <w:pPr>
            <w:pStyle w:val="TOC1"/>
            <w:tabs>
              <w:tab w:val="left" w:pos="660"/>
              <w:tab w:val="right" w:pos="10600"/>
            </w:tabs>
            <w:rPr>
              <w:rFonts w:eastAsiaTheme="minorEastAsia" w:cstheme="minorBidi"/>
              <w:b w:val="0"/>
              <w:bCs w:val="0"/>
              <w:noProof/>
              <w:kern w:val="2"/>
              <w:sz w:val="24"/>
              <w:szCs w:val="24"/>
              <w:lang w:bidi="ar-SA"/>
              <w14:ligatures w14:val="standardContextual"/>
            </w:rPr>
          </w:pPr>
          <w:hyperlink w:anchor="_Toc236218980" w:history="1">
            <w:r w:rsidRPr="00D45B2C">
              <w:rPr>
                <w:rStyle w:val="Hyperlink"/>
                <w:noProof/>
              </w:rPr>
              <w:t>14.0</w:t>
            </w:r>
            <w:r>
              <w:rPr>
                <w:rFonts w:eastAsiaTheme="minorEastAsia" w:cstheme="minorBidi"/>
                <w:b w:val="0"/>
                <w:bCs w:val="0"/>
                <w:noProof/>
                <w:kern w:val="2"/>
                <w:sz w:val="24"/>
                <w:szCs w:val="24"/>
                <w:lang w:bidi="ar-SA"/>
                <w14:ligatures w14:val="standardContextual"/>
              </w:rPr>
              <w:tab/>
            </w:r>
            <w:r w:rsidRPr="00D45B2C">
              <w:rPr>
                <w:rStyle w:val="Hyperlink"/>
                <w:noProof/>
              </w:rPr>
              <w:t>REFERENCES</w:t>
            </w:r>
            <w:r>
              <w:rPr>
                <w:noProof/>
                <w:webHidden/>
              </w:rPr>
              <w:t xml:space="preserve"> </w:t>
            </w:r>
            <w:r>
              <w:rPr>
                <w:noProof/>
                <w:webHidden/>
              </w:rPr>
              <w:fldChar w:fldCharType="begin"/>
            </w:r>
            <w:r>
              <w:rPr>
                <w:noProof/>
                <w:webHidden/>
              </w:rPr>
              <w:instrText xml:space="preserve"> PAGEREF _Toc236218980 \h </w:instrText>
            </w:r>
            <w:r>
              <w:rPr>
                <w:noProof/>
                <w:webHidden/>
              </w:rPr>
            </w:r>
            <w:r>
              <w:rPr>
                <w:noProof/>
                <w:webHidden/>
              </w:rPr>
              <w:fldChar w:fldCharType="separate"/>
            </w:r>
            <w:r w:rsidR="00E636F5">
              <w:rPr>
                <w:noProof/>
                <w:webHidden/>
              </w:rPr>
              <w:t>28</w:t>
            </w:r>
            <w:r>
              <w:rPr>
                <w:noProof/>
                <w:webHidden/>
              </w:rPr>
              <w:fldChar w:fldCharType="end"/>
            </w:r>
          </w:hyperlink>
        </w:p>
        <w:p w14:paraId="616D8D14" w14:textId="63FD38DE" w:rsidR="002939F6" w:rsidRDefault="0055687B">
          <w:r>
            <w:rPr>
              <w:rFonts w:asciiTheme="minorHAnsi" w:hAnsiTheme="minorHAnsi" w:cstheme="minorHAnsi"/>
              <w:b/>
              <w:bCs/>
              <w:sz w:val="20"/>
              <w:szCs w:val="20"/>
            </w:rPr>
            <w:lastRenderedPageBreak/>
            <w:fldChar w:fldCharType="end"/>
          </w:r>
        </w:p>
      </w:sdtContent>
    </w:sdt>
    <w:p w14:paraId="2774A2FB" w14:textId="77777777" w:rsidR="0040281D" w:rsidRDefault="0040281D">
      <w:pPr>
        <w:pStyle w:val="BodyText"/>
        <w:spacing w:before="7"/>
        <w:rPr>
          <w:sz w:val="22"/>
        </w:rPr>
      </w:pPr>
    </w:p>
    <w:p w14:paraId="098C0FE2" w14:textId="6CCD2F77" w:rsidR="00520ADE" w:rsidRPr="00BC7ECC" w:rsidRDefault="006529F6" w:rsidP="00337E85">
      <w:pPr>
        <w:pStyle w:val="Heading1"/>
        <w:rPr>
          <w:sz w:val="24"/>
          <w:szCs w:val="24"/>
          <w:u w:val="single"/>
        </w:rPr>
      </w:pPr>
      <w:bookmarkStart w:id="0" w:name="_Toc236218939"/>
      <w:r w:rsidRPr="00BC7ECC">
        <w:rPr>
          <w:sz w:val="24"/>
          <w:szCs w:val="24"/>
          <w:u w:val="single"/>
        </w:rPr>
        <w:t>1.0</w:t>
      </w:r>
      <w:r w:rsidRPr="00BC7ECC">
        <w:rPr>
          <w:sz w:val="24"/>
          <w:szCs w:val="24"/>
          <w:u w:val="single"/>
        </w:rPr>
        <w:tab/>
      </w:r>
      <w:r w:rsidR="003A151E" w:rsidRPr="003A151E">
        <w:rPr>
          <w:sz w:val="24"/>
          <w:szCs w:val="24"/>
          <w:u w:val="single"/>
        </w:rPr>
        <w:t>INTRODUCTION</w:t>
      </w:r>
      <w:r w:rsidR="003A151E" w:rsidRPr="003A151E">
        <w:rPr>
          <w:spacing w:val="82"/>
          <w:sz w:val="24"/>
          <w:szCs w:val="24"/>
          <w:u w:val="single"/>
        </w:rPr>
        <w:t xml:space="preserve"> </w:t>
      </w:r>
      <w:r w:rsidR="003A151E" w:rsidRPr="003A151E">
        <w:rPr>
          <w:sz w:val="24"/>
          <w:szCs w:val="24"/>
          <w:u w:val="single"/>
        </w:rPr>
        <w:t>TO</w:t>
      </w:r>
      <w:r w:rsidR="003A151E" w:rsidRPr="003A151E">
        <w:rPr>
          <w:spacing w:val="78"/>
          <w:sz w:val="24"/>
          <w:szCs w:val="24"/>
          <w:u w:val="single"/>
        </w:rPr>
        <w:t xml:space="preserve"> </w:t>
      </w:r>
      <w:r w:rsidR="003A151E" w:rsidRPr="003A151E">
        <w:rPr>
          <w:sz w:val="24"/>
          <w:szCs w:val="24"/>
          <w:u w:val="single"/>
        </w:rPr>
        <w:t>DEMENTIA</w:t>
      </w:r>
      <w:bookmarkEnd w:id="0"/>
    </w:p>
    <w:p w14:paraId="5D49F46E" w14:textId="77777777" w:rsidR="00520ADE" w:rsidRPr="006D172D" w:rsidRDefault="00520ADE">
      <w:pPr>
        <w:pStyle w:val="BodyText"/>
        <w:spacing w:before="4"/>
        <w:rPr>
          <w:b/>
          <w:sz w:val="32"/>
        </w:rPr>
      </w:pPr>
    </w:p>
    <w:p w14:paraId="7932FF4E" w14:textId="2ECEE5E4" w:rsidR="00520ADE" w:rsidRPr="006D172D" w:rsidRDefault="00D17A4B" w:rsidP="00B83501">
      <w:pPr>
        <w:pStyle w:val="BodyText"/>
        <w:ind w:left="142" w:right="1435"/>
        <w:jc w:val="both"/>
      </w:pPr>
      <w:r w:rsidRPr="006D172D">
        <w:rPr>
          <w:color w:val="333333"/>
        </w:rPr>
        <w:t xml:space="preserve">Dementia is not a disease </w:t>
      </w:r>
      <w:r w:rsidR="000A1990" w:rsidRPr="006D172D">
        <w:rPr>
          <w:color w:val="333333"/>
        </w:rPr>
        <w:t>in itself;</w:t>
      </w:r>
      <w:r w:rsidRPr="006D172D">
        <w:rPr>
          <w:color w:val="333333"/>
        </w:rPr>
        <w:t xml:space="preserve"> it is a word used to describe a group of symptoms that occur when brain cells stop working properly. This happens inside specific areas of the brain, which can impact upon </w:t>
      </w:r>
      <w:r w:rsidRPr="006D172D">
        <w:t xml:space="preserve">memory loss and create difficulties with thinking, problem-solving or language. Dementia is </w:t>
      </w:r>
      <w:hyperlink r:id="rId15">
        <w:r w:rsidRPr="006D172D">
          <w:t>progressive</w:t>
        </w:r>
      </w:hyperlink>
      <w:r w:rsidRPr="006D172D">
        <w:t>, which means the symptoms will gradually get worse. There are a variety of forms of dementia, each with unique impacts upon an individual and their need for care.</w:t>
      </w:r>
    </w:p>
    <w:p w14:paraId="347945AD" w14:textId="77777777" w:rsidR="00520ADE" w:rsidRPr="006D172D" w:rsidRDefault="00520ADE" w:rsidP="00FF5D41">
      <w:pPr>
        <w:pStyle w:val="BodyText"/>
      </w:pPr>
    </w:p>
    <w:p w14:paraId="2B72DEE2" w14:textId="77777777" w:rsidR="00235C86" w:rsidRPr="006D172D" w:rsidRDefault="00235C86" w:rsidP="00FF5D41">
      <w:pPr>
        <w:pStyle w:val="Heading2"/>
        <w:ind w:left="142" w:right="1418"/>
      </w:pPr>
      <w:bookmarkStart w:id="1" w:name="_Toc236218940"/>
      <w:r w:rsidRPr="006D172D">
        <w:t>1.1 Types and causes of Dementia</w:t>
      </w:r>
      <w:bookmarkEnd w:id="1"/>
    </w:p>
    <w:p w14:paraId="70DD4031" w14:textId="77777777" w:rsidR="00520ADE" w:rsidRPr="006D172D" w:rsidRDefault="00235C86" w:rsidP="00B83501">
      <w:pPr>
        <w:pStyle w:val="BodyText"/>
        <w:ind w:firstLine="140"/>
        <w:rPr>
          <w:b/>
          <w:bCs/>
        </w:rPr>
      </w:pPr>
      <w:r w:rsidRPr="006D172D">
        <w:rPr>
          <w:b/>
          <w:bCs/>
        </w:rPr>
        <w:t>Alzheimer’s disease</w:t>
      </w:r>
    </w:p>
    <w:p w14:paraId="64D3A776" w14:textId="77777777" w:rsidR="00467A1D" w:rsidRPr="006D172D" w:rsidRDefault="00467A1D" w:rsidP="00B83501">
      <w:pPr>
        <w:pStyle w:val="BodyText"/>
      </w:pPr>
    </w:p>
    <w:p w14:paraId="72F48B90" w14:textId="4E72C885" w:rsidR="00520ADE" w:rsidRPr="006D172D" w:rsidRDefault="00D17A4B" w:rsidP="00FF5D41">
      <w:pPr>
        <w:pStyle w:val="BodyText"/>
        <w:ind w:left="140" w:right="1438"/>
        <w:jc w:val="both"/>
      </w:pPr>
      <w:r w:rsidRPr="006D172D">
        <w:t xml:space="preserve">This is the most common cause of dementia. </w:t>
      </w:r>
      <w:r w:rsidR="000A1990" w:rsidRPr="006D172D">
        <w:t>During</w:t>
      </w:r>
      <w:r w:rsidRPr="006D172D">
        <w:t xml:space="preserve"> the disease, the chemistry and structure of the brain changes, leading to the death of brain cells.</w:t>
      </w:r>
    </w:p>
    <w:p w14:paraId="2A9B0594" w14:textId="77777777" w:rsidR="00520ADE" w:rsidRPr="006D172D" w:rsidRDefault="00520ADE" w:rsidP="00B83501">
      <w:pPr>
        <w:pStyle w:val="BodyText"/>
      </w:pPr>
    </w:p>
    <w:p w14:paraId="1831D8C2" w14:textId="77777777" w:rsidR="00520ADE" w:rsidRPr="006D172D" w:rsidRDefault="00D17A4B" w:rsidP="00B83501">
      <w:pPr>
        <w:pStyle w:val="BodyText"/>
        <w:ind w:firstLine="140"/>
        <w:rPr>
          <w:b/>
          <w:bCs/>
        </w:rPr>
      </w:pPr>
      <w:r w:rsidRPr="006D172D">
        <w:rPr>
          <w:b/>
          <w:bCs/>
        </w:rPr>
        <w:t>Vascular dementia</w:t>
      </w:r>
    </w:p>
    <w:p w14:paraId="4B5543B9" w14:textId="77777777" w:rsidR="00520ADE" w:rsidRPr="006D172D" w:rsidRDefault="00520ADE" w:rsidP="00FF5D41">
      <w:pPr>
        <w:pStyle w:val="BodyText"/>
        <w:rPr>
          <w:b/>
          <w:sz w:val="27"/>
        </w:rPr>
      </w:pPr>
    </w:p>
    <w:p w14:paraId="2113E15B" w14:textId="77777777" w:rsidR="00520ADE" w:rsidRPr="006D172D" w:rsidRDefault="00D17A4B" w:rsidP="00B83501">
      <w:pPr>
        <w:pStyle w:val="BodyText"/>
        <w:ind w:left="140" w:right="1440"/>
        <w:jc w:val="both"/>
      </w:pPr>
      <w:r w:rsidRPr="006D172D">
        <w:t>If the oxygen supply to the brain fails, brain cells may die. The symptoms of vascular dementia can occur either suddenly, following a stroke, or over time, through a series of small strokes.</w:t>
      </w:r>
    </w:p>
    <w:p w14:paraId="12B92F09" w14:textId="77777777" w:rsidR="00520ADE" w:rsidRPr="006D172D" w:rsidRDefault="00520ADE" w:rsidP="00FF5D41">
      <w:pPr>
        <w:pStyle w:val="BodyText"/>
      </w:pPr>
    </w:p>
    <w:p w14:paraId="654E30FA" w14:textId="276FB2D1" w:rsidR="00520ADE" w:rsidRPr="006D172D" w:rsidRDefault="00D17A4B" w:rsidP="00B83501">
      <w:pPr>
        <w:pStyle w:val="BodyText"/>
        <w:ind w:firstLine="140"/>
        <w:rPr>
          <w:b/>
          <w:bCs/>
        </w:rPr>
      </w:pPr>
      <w:r w:rsidRPr="006D172D">
        <w:rPr>
          <w:b/>
          <w:bCs/>
        </w:rPr>
        <w:t>Dementia with Lewy Bodies</w:t>
      </w:r>
    </w:p>
    <w:p w14:paraId="03B9D651" w14:textId="77777777" w:rsidR="00520ADE" w:rsidRPr="006D172D" w:rsidRDefault="00520ADE" w:rsidP="00B83501">
      <w:pPr>
        <w:pStyle w:val="BodyText"/>
        <w:rPr>
          <w:b/>
          <w:sz w:val="28"/>
        </w:rPr>
      </w:pPr>
    </w:p>
    <w:p w14:paraId="0B5F9FB2" w14:textId="77777777" w:rsidR="00520ADE" w:rsidRPr="006D172D" w:rsidRDefault="00D17A4B" w:rsidP="00B83501">
      <w:pPr>
        <w:pStyle w:val="BodyText"/>
        <w:ind w:left="140" w:right="1444"/>
        <w:jc w:val="both"/>
      </w:pPr>
      <w:r w:rsidRPr="006D172D">
        <w:t>This form of dementia gets its name from tiny abnormal structures that develop inside nerve cells. Their presence in the brain leads to the degeneration of brain tissue. Symptoms can include disorientation and hallucinations, as well as problems with planning, reasoning and problem solving. Memory may be affected to a lesser degree. This form of dementia shares some characteristics with Parkinson's</w:t>
      </w:r>
      <w:r w:rsidRPr="006D172D">
        <w:rPr>
          <w:spacing w:val="-30"/>
        </w:rPr>
        <w:t xml:space="preserve"> </w:t>
      </w:r>
      <w:r w:rsidRPr="006D172D">
        <w:t>disease.</w:t>
      </w:r>
    </w:p>
    <w:p w14:paraId="6E7E20F7" w14:textId="77777777" w:rsidR="00520ADE" w:rsidRPr="006D172D" w:rsidRDefault="00520ADE" w:rsidP="007E6F4B">
      <w:pPr>
        <w:pStyle w:val="BodyText"/>
      </w:pPr>
    </w:p>
    <w:p w14:paraId="77C3917F" w14:textId="77777777" w:rsidR="00520ADE" w:rsidRPr="006D172D" w:rsidRDefault="00D17A4B" w:rsidP="00B83501">
      <w:pPr>
        <w:pStyle w:val="BodyText"/>
        <w:ind w:firstLine="140"/>
        <w:rPr>
          <w:b/>
          <w:bCs/>
        </w:rPr>
      </w:pPr>
      <w:r w:rsidRPr="006D172D">
        <w:rPr>
          <w:b/>
          <w:bCs/>
        </w:rPr>
        <w:t>Fronto-temporal dementia</w:t>
      </w:r>
    </w:p>
    <w:p w14:paraId="24B1B963" w14:textId="77777777" w:rsidR="00520ADE" w:rsidRPr="006D172D" w:rsidRDefault="00520ADE" w:rsidP="007E6F4B">
      <w:pPr>
        <w:pStyle w:val="BodyText"/>
        <w:rPr>
          <w:b/>
          <w:sz w:val="27"/>
        </w:rPr>
      </w:pPr>
    </w:p>
    <w:p w14:paraId="5121D55E" w14:textId="2BD83C27" w:rsidR="00520ADE" w:rsidRPr="006D172D" w:rsidRDefault="00D17A4B" w:rsidP="00B83501">
      <w:pPr>
        <w:pStyle w:val="BodyText"/>
        <w:ind w:left="140" w:right="1534"/>
        <w:jc w:val="both"/>
      </w:pPr>
      <w:r w:rsidRPr="006D172D">
        <w:t xml:space="preserve">In frontotemporal dementia, damage is usually focused </w:t>
      </w:r>
      <w:r w:rsidR="008137ED" w:rsidRPr="006D172D">
        <w:t>on</w:t>
      </w:r>
      <w:r w:rsidRPr="006D172D">
        <w:t xml:space="preserve"> the front part of the brain. Personality and behaviour are initially more affected than memory.</w:t>
      </w:r>
    </w:p>
    <w:p w14:paraId="1A035F27" w14:textId="77777777" w:rsidR="00520ADE" w:rsidRPr="006D172D" w:rsidRDefault="00520ADE" w:rsidP="00B83501">
      <w:pPr>
        <w:pStyle w:val="BodyText"/>
      </w:pPr>
    </w:p>
    <w:p w14:paraId="0E661325" w14:textId="77777777" w:rsidR="00520ADE" w:rsidRPr="006D172D" w:rsidRDefault="00D17A4B" w:rsidP="00B83501">
      <w:pPr>
        <w:pStyle w:val="BodyText"/>
        <w:ind w:firstLine="140"/>
        <w:rPr>
          <w:b/>
          <w:bCs/>
        </w:rPr>
      </w:pPr>
      <w:r w:rsidRPr="006D172D">
        <w:rPr>
          <w:b/>
          <w:bCs/>
        </w:rPr>
        <w:t>Rarer causes of dementia</w:t>
      </w:r>
    </w:p>
    <w:p w14:paraId="7CF919DA" w14:textId="77777777" w:rsidR="00520ADE" w:rsidRPr="006D172D" w:rsidRDefault="00520ADE" w:rsidP="007E6F4B">
      <w:pPr>
        <w:pStyle w:val="BodyText"/>
        <w:rPr>
          <w:b/>
          <w:sz w:val="21"/>
        </w:rPr>
      </w:pPr>
    </w:p>
    <w:p w14:paraId="7B61AEDC" w14:textId="1C5C1B0C" w:rsidR="00520ADE" w:rsidRPr="006D172D" w:rsidRDefault="00D17A4B" w:rsidP="00B83501">
      <w:pPr>
        <w:pStyle w:val="BodyText"/>
        <w:ind w:left="140" w:right="1439"/>
        <w:jc w:val="both"/>
      </w:pPr>
      <w:r w:rsidRPr="006D172D">
        <w:t xml:space="preserve">There are many other rarer diseases that may lead to dementia, including progressive supranuclear palsy, alcohol-related brain damage (Korsakoff's syndrome), Binswanger's disease, HIV/AIDS, and Creutzfeldt−Jakob disease (CJD). Some people with multiple sclerosis, motor neurone disease, Parkinson's disease and Huntington's disease may also develop dementia </w:t>
      </w:r>
      <w:r w:rsidR="000A1990" w:rsidRPr="006D172D">
        <w:t>because of</w:t>
      </w:r>
      <w:r w:rsidRPr="006D172D">
        <w:t xml:space="preserve"> disease progression. Prions are infectious agents that attack the central nervous system and</w:t>
      </w:r>
      <w:r w:rsidR="0087035A" w:rsidRPr="006D172D">
        <w:t xml:space="preserve"> </w:t>
      </w:r>
      <w:r w:rsidR="00C24CCF" w:rsidRPr="006D172D">
        <w:t xml:space="preserve">then </w:t>
      </w:r>
      <w:r w:rsidRPr="006D172D">
        <w:t xml:space="preserve">invade the brain, causing dementia. The best-known prion disease is Creutzfeldt-Jakob disease </w:t>
      </w:r>
      <w:r w:rsidR="004860E1">
        <w:t>(</w:t>
      </w:r>
      <w:r w:rsidRPr="006D172D">
        <w:t>CJD</w:t>
      </w:r>
      <w:r w:rsidR="004860E1">
        <w:t>)</w:t>
      </w:r>
      <w:r w:rsidRPr="006D172D">
        <w:t>.</w:t>
      </w:r>
    </w:p>
    <w:p w14:paraId="244C5C0D" w14:textId="77777777" w:rsidR="00467A1D" w:rsidRPr="006D172D" w:rsidRDefault="00467A1D" w:rsidP="00B83501">
      <w:pPr>
        <w:pStyle w:val="BodyText"/>
        <w:ind w:left="140" w:right="1439"/>
        <w:jc w:val="both"/>
      </w:pPr>
    </w:p>
    <w:p w14:paraId="6D7E3910" w14:textId="77777777" w:rsidR="00520ADE" w:rsidRPr="006D172D" w:rsidRDefault="00D17A4B" w:rsidP="00B83501">
      <w:pPr>
        <w:pStyle w:val="BodyText"/>
        <w:ind w:firstLine="140"/>
        <w:rPr>
          <w:b/>
          <w:bCs/>
        </w:rPr>
      </w:pPr>
      <w:r w:rsidRPr="006D172D">
        <w:rPr>
          <w:b/>
          <w:bCs/>
        </w:rPr>
        <w:t>Mild cognitive impairment</w:t>
      </w:r>
    </w:p>
    <w:p w14:paraId="1E60007E" w14:textId="77777777" w:rsidR="00520ADE" w:rsidRPr="006D172D" w:rsidRDefault="00520ADE" w:rsidP="00F30EC5">
      <w:pPr>
        <w:pStyle w:val="BodyText"/>
        <w:rPr>
          <w:b/>
          <w:sz w:val="20"/>
        </w:rPr>
      </w:pPr>
    </w:p>
    <w:p w14:paraId="63FFA7FB" w14:textId="3941401B" w:rsidR="00520ADE" w:rsidRDefault="00D17A4B" w:rsidP="00B83501">
      <w:pPr>
        <w:pStyle w:val="BodyText"/>
        <w:ind w:left="140" w:right="1438"/>
        <w:jc w:val="both"/>
      </w:pPr>
      <w:r w:rsidRPr="006D172D">
        <w:t xml:space="preserve">Some individuals may have noticed problems with their memory, but a doctor may feel that the symptoms are not severe enough to warrant a diagnosis of Alzheimer's disease or another type of dementia, particularly if a person is still managing well. When this occurs, some doctors will use the term 'mild cognitive impairment' (MCI). </w:t>
      </w:r>
      <w:r w:rsidR="00616B40" w:rsidRPr="006D172D">
        <w:lastRenderedPageBreak/>
        <w:t>R</w:t>
      </w:r>
      <w:r w:rsidRPr="006D172D">
        <w:t>esearch has shown that individuals with MCI have an increased risk of developing dementia. The conversion rate from MCI to Alzheimer's is 10-</w:t>
      </w:r>
      <w:r w:rsidR="0078575A" w:rsidRPr="006D172D">
        <w:t>15</w:t>
      </w:r>
      <w:r w:rsidRPr="006D172D">
        <w:t xml:space="preserve"> per cent each year, so a diagnosis of MCI does not always mean that the person will go on to develop dementia</w:t>
      </w:r>
    </w:p>
    <w:p w14:paraId="512BD9DA" w14:textId="77777777" w:rsidR="003A151E" w:rsidRPr="006D172D" w:rsidRDefault="003A151E" w:rsidP="00B83501">
      <w:pPr>
        <w:pStyle w:val="BodyText"/>
        <w:ind w:left="140" w:right="1438"/>
        <w:jc w:val="both"/>
      </w:pPr>
    </w:p>
    <w:p w14:paraId="61DC2997" w14:textId="77777777" w:rsidR="00520ADE" w:rsidRPr="006D172D" w:rsidRDefault="00213068" w:rsidP="00F30EC5">
      <w:pPr>
        <w:pStyle w:val="Heading2"/>
        <w:jc w:val="both"/>
      </w:pPr>
      <w:bookmarkStart w:id="2" w:name="_Toc236218941"/>
      <w:r w:rsidRPr="006D172D">
        <w:t>1.2</w:t>
      </w:r>
      <w:r w:rsidRPr="006D172D">
        <w:tab/>
      </w:r>
      <w:r w:rsidR="00D17A4B" w:rsidRPr="006D172D">
        <w:t>Diagnosing dementia</w:t>
      </w:r>
      <w:bookmarkEnd w:id="2"/>
    </w:p>
    <w:p w14:paraId="563464CA" w14:textId="77777777" w:rsidR="00520ADE" w:rsidRPr="006D172D" w:rsidRDefault="00520ADE" w:rsidP="00F30EC5">
      <w:pPr>
        <w:pStyle w:val="BodyText"/>
        <w:rPr>
          <w:b/>
          <w:sz w:val="20"/>
        </w:rPr>
      </w:pPr>
    </w:p>
    <w:p w14:paraId="330B788B" w14:textId="77777777" w:rsidR="00520ADE" w:rsidRDefault="00D17A4B" w:rsidP="00B83501">
      <w:pPr>
        <w:pStyle w:val="BodyText"/>
        <w:ind w:left="140" w:right="1434"/>
        <w:jc w:val="both"/>
      </w:pPr>
      <w:r w:rsidRPr="006D172D">
        <w:t>Diagnosing dementia is often difficult, particularly in the early stages, this makes it difficult to assess the full extent of prevalence in Knowsley and elsewhere. Initial referral, often through primary care to specialist assessment, should enable the right support and treatment, critical to improved outcomes and planning.</w:t>
      </w:r>
    </w:p>
    <w:p w14:paraId="17E6256C" w14:textId="77777777" w:rsidR="003A151E" w:rsidRPr="006D172D" w:rsidRDefault="003A151E" w:rsidP="00B83501">
      <w:pPr>
        <w:pStyle w:val="BodyText"/>
        <w:ind w:left="140" w:right="1434"/>
        <w:jc w:val="both"/>
      </w:pPr>
    </w:p>
    <w:p w14:paraId="5A1C3A32" w14:textId="48B35008" w:rsidR="00520ADE" w:rsidRDefault="00D17A4B" w:rsidP="00B83501">
      <w:pPr>
        <w:pStyle w:val="BodyText"/>
        <w:ind w:left="140" w:right="1433"/>
        <w:jc w:val="both"/>
      </w:pPr>
      <w:r w:rsidRPr="006D172D">
        <w:t xml:space="preserve">Assessments can include conversations with the person being diagnosed and those close to them, a physical examination, memory tests and/or brain scans. The Mini Mental State Examination (MMSE) is the </w:t>
      </w:r>
      <w:r w:rsidR="000A1990" w:rsidRPr="006D172D">
        <w:t>most used</w:t>
      </w:r>
      <w:r w:rsidRPr="006D172D">
        <w:t xml:space="preserve"> test for complaints of memory problems or when a diagnosis of dementia is being considered.</w:t>
      </w:r>
    </w:p>
    <w:p w14:paraId="7272D8B4" w14:textId="77777777" w:rsidR="003A151E" w:rsidRPr="006D172D" w:rsidRDefault="003A151E" w:rsidP="00F30EC5">
      <w:pPr>
        <w:pStyle w:val="BodyText"/>
        <w:ind w:left="140" w:right="1433"/>
        <w:jc w:val="both"/>
      </w:pPr>
    </w:p>
    <w:p w14:paraId="07F177DE" w14:textId="163643AF" w:rsidR="00520ADE" w:rsidRPr="006D172D" w:rsidRDefault="00D17A4B" w:rsidP="00F30EC5">
      <w:pPr>
        <w:pStyle w:val="BodyText"/>
        <w:ind w:left="140" w:right="1437"/>
        <w:jc w:val="both"/>
      </w:pPr>
      <w:r w:rsidRPr="006D172D">
        <w:t>Becoming forgetful does not necessarily mean that someone has dementia. Many people notice that memory becomes less reliable as they get older. It can also be a symptom of stress or depression. In rare cases, dementia-like symptoms can be caused by vitamin deficiencies or a brain tumour.</w:t>
      </w:r>
    </w:p>
    <w:p w14:paraId="1A450A6F" w14:textId="77777777" w:rsidR="00520ADE" w:rsidRPr="006D172D" w:rsidRDefault="00520ADE" w:rsidP="00F30EC5">
      <w:pPr>
        <w:pStyle w:val="BodyText"/>
        <w:rPr>
          <w:sz w:val="36"/>
        </w:rPr>
      </w:pPr>
    </w:p>
    <w:p w14:paraId="65AE0B21" w14:textId="2ADD9041" w:rsidR="00520ADE" w:rsidRPr="00F30EC5" w:rsidRDefault="003A151E" w:rsidP="00B83501">
      <w:pPr>
        <w:pStyle w:val="Heading1"/>
        <w:tabs>
          <w:tab w:val="left" w:pos="861"/>
        </w:tabs>
        <w:jc w:val="both"/>
        <w:rPr>
          <w:sz w:val="24"/>
          <w:szCs w:val="24"/>
          <w:u w:val="single"/>
        </w:rPr>
      </w:pPr>
      <w:bookmarkStart w:id="3" w:name="_Toc236218942"/>
      <w:r w:rsidRPr="003A151E">
        <w:rPr>
          <w:sz w:val="24"/>
          <w:szCs w:val="24"/>
          <w:u w:val="single"/>
        </w:rPr>
        <w:t>2.0</w:t>
      </w:r>
      <w:r w:rsidRPr="003A151E">
        <w:rPr>
          <w:sz w:val="24"/>
          <w:szCs w:val="24"/>
          <w:u w:val="single"/>
        </w:rPr>
        <w:tab/>
        <w:t>WHY IS DEMENTIA IMPORTANT</w:t>
      </w:r>
      <w:r>
        <w:rPr>
          <w:sz w:val="24"/>
          <w:szCs w:val="24"/>
          <w:u w:val="single"/>
        </w:rPr>
        <w:t>?</w:t>
      </w:r>
      <w:bookmarkEnd w:id="3"/>
    </w:p>
    <w:p w14:paraId="60EDE3C7" w14:textId="77777777" w:rsidR="00520ADE" w:rsidRPr="006D172D" w:rsidRDefault="00520ADE" w:rsidP="00F30EC5">
      <w:pPr>
        <w:pStyle w:val="BodyText"/>
        <w:rPr>
          <w:b/>
          <w:sz w:val="32"/>
        </w:rPr>
      </w:pPr>
    </w:p>
    <w:p w14:paraId="21482DA0" w14:textId="77777777" w:rsidR="00520ADE" w:rsidRPr="006D172D" w:rsidRDefault="00DB47CC" w:rsidP="00B83501">
      <w:pPr>
        <w:pStyle w:val="Heading2"/>
        <w:jc w:val="both"/>
      </w:pPr>
      <w:bookmarkStart w:id="4" w:name="_Toc236218943"/>
      <w:r w:rsidRPr="006D172D">
        <w:t>2.1</w:t>
      </w:r>
      <w:r w:rsidRPr="006D172D">
        <w:tab/>
      </w:r>
      <w:r w:rsidR="00D17A4B" w:rsidRPr="006D172D">
        <w:t>Impact of the disease</w:t>
      </w:r>
      <w:bookmarkEnd w:id="4"/>
    </w:p>
    <w:p w14:paraId="690B0EEA" w14:textId="77777777" w:rsidR="00520ADE" w:rsidRPr="006D172D" w:rsidRDefault="00520ADE" w:rsidP="00F30EC5">
      <w:pPr>
        <w:pStyle w:val="BodyText"/>
        <w:rPr>
          <w:b/>
          <w:sz w:val="21"/>
        </w:rPr>
      </w:pPr>
    </w:p>
    <w:p w14:paraId="68482543" w14:textId="1D0A9217" w:rsidR="00520ADE" w:rsidRPr="006D172D" w:rsidRDefault="00D17A4B" w:rsidP="00B83501">
      <w:pPr>
        <w:pStyle w:val="BodyText"/>
        <w:ind w:left="140" w:right="1438"/>
        <w:jc w:val="both"/>
      </w:pPr>
      <w:r w:rsidRPr="006D172D">
        <w:t xml:space="preserve">Dementia impacts upon people and families in </w:t>
      </w:r>
      <w:r w:rsidR="008413DE" w:rsidRPr="006D172D">
        <w:t>several</w:t>
      </w:r>
      <w:r w:rsidRPr="006D172D">
        <w:t xml:space="preserve"> </w:t>
      </w:r>
      <w:r w:rsidR="004F57C7" w:rsidRPr="006D172D">
        <w:t>ways;</w:t>
      </w:r>
      <w:r w:rsidRPr="006D172D">
        <w:t xml:space="preserve"> the most obvious impacts relate to an individual’s ability to function in relation to key tasks, something which deteriorates over time although initially may not prevent an individual functioning well.</w:t>
      </w:r>
    </w:p>
    <w:p w14:paraId="32CA57A7" w14:textId="77777777" w:rsidR="00520ADE" w:rsidRDefault="00D17A4B" w:rsidP="00B83501">
      <w:pPr>
        <w:pStyle w:val="BodyText"/>
        <w:ind w:left="140" w:right="1437"/>
        <w:jc w:val="both"/>
      </w:pPr>
      <w:r w:rsidRPr="006D172D">
        <w:t>There are significant impacts upon partners, families and loved ones, especially those with carer responsibilities, again these impacts escalate over time although some aspects of behaviour may be significant at earlier stages of disease progression.</w:t>
      </w:r>
    </w:p>
    <w:p w14:paraId="406E0FE9" w14:textId="77777777" w:rsidR="003A151E" w:rsidRPr="006D172D" w:rsidRDefault="003A151E" w:rsidP="00F30EC5">
      <w:pPr>
        <w:pStyle w:val="BodyText"/>
        <w:ind w:left="140" w:right="1437"/>
        <w:jc w:val="both"/>
      </w:pPr>
    </w:p>
    <w:p w14:paraId="1791731E" w14:textId="77777777" w:rsidR="00520ADE" w:rsidRPr="006D172D" w:rsidRDefault="00D17A4B" w:rsidP="00F30EC5">
      <w:pPr>
        <w:pStyle w:val="BodyText"/>
        <w:ind w:left="140" w:right="1441"/>
        <w:jc w:val="both"/>
      </w:pPr>
      <w:r w:rsidRPr="006D172D">
        <w:t>Other impacts include the financial impacts where functioning is impaired and employment is affected, the psychological impact upon the individual and their families and relatives. The safety of the individual, especially where activities that had previously been taken for granted, such as driving, may be affected and, finally, issues such as planning for end of life, including making wills for example, may prove difficult if not undertaken before disease progression becomes</w:t>
      </w:r>
      <w:r w:rsidRPr="006D172D">
        <w:rPr>
          <w:spacing w:val="-11"/>
        </w:rPr>
        <w:t xml:space="preserve"> </w:t>
      </w:r>
      <w:r w:rsidRPr="006D172D">
        <w:t>acute.</w:t>
      </w:r>
    </w:p>
    <w:p w14:paraId="41FA0A62" w14:textId="77777777" w:rsidR="00520ADE" w:rsidRPr="006D172D" w:rsidRDefault="00520ADE" w:rsidP="00F30EC5">
      <w:pPr>
        <w:pStyle w:val="BodyText"/>
        <w:rPr>
          <w:sz w:val="36"/>
        </w:rPr>
      </w:pPr>
    </w:p>
    <w:p w14:paraId="306D2C31" w14:textId="77777777" w:rsidR="00520ADE" w:rsidRPr="006D172D" w:rsidRDefault="00DB47CC" w:rsidP="00B83501">
      <w:pPr>
        <w:pStyle w:val="Heading2"/>
        <w:jc w:val="both"/>
      </w:pPr>
      <w:bookmarkStart w:id="5" w:name="_Toc236218944"/>
      <w:r w:rsidRPr="006D172D">
        <w:t>2.2</w:t>
      </w:r>
      <w:r w:rsidRPr="006D172D">
        <w:tab/>
      </w:r>
      <w:r w:rsidR="00D17A4B" w:rsidRPr="006D172D">
        <w:t>What are the economic costs of dementia?</w:t>
      </w:r>
      <w:bookmarkEnd w:id="5"/>
    </w:p>
    <w:p w14:paraId="67451E6D" w14:textId="77777777" w:rsidR="00C660F7" w:rsidRPr="006D172D" w:rsidRDefault="00C660F7" w:rsidP="00B83501">
      <w:pPr>
        <w:pStyle w:val="BodyText"/>
      </w:pPr>
    </w:p>
    <w:p w14:paraId="61AD3880" w14:textId="5CCD26C0" w:rsidR="003366E7" w:rsidRPr="006D172D" w:rsidRDefault="007D30D9" w:rsidP="00B83501">
      <w:pPr>
        <w:pStyle w:val="BodyText"/>
        <w:ind w:left="140" w:right="1437"/>
        <w:jc w:val="both"/>
      </w:pPr>
      <w:r w:rsidRPr="006D172D">
        <w:t>The cost</w:t>
      </w:r>
      <w:r w:rsidR="002E1E2C" w:rsidRPr="006D172D">
        <w:t xml:space="preserve"> of </w:t>
      </w:r>
      <w:r w:rsidR="00464350" w:rsidRPr="006D172D">
        <w:t>d</w:t>
      </w:r>
      <w:r w:rsidR="002E1E2C" w:rsidRPr="006D172D">
        <w:t>ementia to the NHS, local authorities and families in the UK</w:t>
      </w:r>
      <w:r w:rsidRPr="006D172D">
        <w:t xml:space="preserve"> is </w:t>
      </w:r>
      <w:r w:rsidR="008912D2" w:rsidRPr="006D172D">
        <w:t xml:space="preserve">forecast to be </w:t>
      </w:r>
      <w:r w:rsidRPr="006D172D">
        <w:t>around £</w:t>
      </w:r>
      <w:r w:rsidR="00183659" w:rsidRPr="006D172D">
        <w:t>42</w:t>
      </w:r>
      <w:r w:rsidRPr="006D172D">
        <w:t xml:space="preserve"> billion </w:t>
      </w:r>
      <w:r w:rsidR="008912D2" w:rsidRPr="006D172D">
        <w:t>in 2024</w:t>
      </w:r>
      <w:r w:rsidR="00940C47" w:rsidRPr="006D172D">
        <w:t>, rising to £90 billion in 2040</w:t>
      </w:r>
      <w:r w:rsidRPr="006D172D">
        <w:t>.  This works out to be a</w:t>
      </w:r>
      <w:r w:rsidR="00291C0B" w:rsidRPr="006D172D">
        <w:t xml:space="preserve"> </w:t>
      </w:r>
      <w:r w:rsidR="00D17A4B" w:rsidRPr="006D172D">
        <w:t xml:space="preserve">cost of </w:t>
      </w:r>
      <w:r w:rsidRPr="006D172D">
        <w:t>£</w:t>
      </w:r>
      <w:r w:rsidR="00BD0DE6" w:rsidRPr="006D172D">
        <w:t>28</w:t>
      </w:r>
      <w:r w:rsidRPr="006D172D">
        <w:t>,</w:t>
      </w:r>
      <w:r w:rsidR="00BD0DE6" w:rsidRPr="006D172D">
        <w:t>70</w:t>
      </w:r>
      <w:r w:rsidRPr="006D172D">
        <w:t xml:space="preserve">0 annual cost of </w:t>
      </w:r>
      <w:r w:rsidR="00D17A4B" w:rsidRPr="006D172D">
        <w:t xml:space="preserve">caring for </w:t>
      </w:r>
      <w:r w:rsidR="00BD0DE6" w:rsidRPr="006D172D">
        <w:t>an</w:t>
      </w:r>
      <w:r w:rsidR="00D17A4B" w:rsidRPr="006D172D">
        <w:t xml:space="preserve"> individual with </w:t>
      </w:r>
      <w:r w:rsidR="00BD0DE6" w:rsidRPr="006D172D">
        <w:t xml:space="preserve">mild </w:t>
      </w:r>
      <w:r w:rsidR="00D17A4B" w:rsidRPr="006D172D">
        <w:t>Dementia</w:t>
      </w:r>
      <w:r w:rsidR="009B4D6E" w:rsidRPr="006D172D">
        <w:t xml:space="preserve"> compared to £80,500 for </w:t>
      </w:r>
      <w:r w:rsidR="004D4D27" w:rsidRPr="006D172D">
        <w:t>severe dementia</w:t>
      </w:r>
      <w:r w:rsidR="00325B1F" w:rsidRPr="006D172D">
        <w:rPr>
          <w:vertAlign w:val="superscript"/>
        </w:rPr>
        <w:t>7</w:t>
      </w:r>
      <w:r w:rsidRPr="006D172D">
        <w:t>.</w:t>
      </w:r>
      <w:r w:rsidR="00D17A4B" w:rsidRPr="006D172D">
        <w:t xml:space="preserve"> </w:t>
      </w:r>
      <w:r w:rsidR="00B1745E" w:rsidRPr="006D172D">
        <w:t>P</w:t>
      </w:r>
      <w:r w:rsidR="00A8646C" w:rsidRPr="006D172D">
        <w:t>revalence</w:t>
      </w:r>
      <w:r w:rsidR="00B1745E" w:rsidRPr="006D172D">
        <w:t xml:space="preserve"> </w:t>
      </w:r>
      <w:r w:rsidR="00A9315A" w:rsidRPr="006D172D">
        <w:t xml:space="preserve">of dementia </w:t>
      </w:r>
      <w:r w:rsidR="00B1745E" w:rsidRPr="006D172D">
        <w:t xml:space="preserve">is increasing and </w:t>
      </w:r>
      <w:r w:rsidR="00A8646C" w:rsidRPr="006D172D">
        <w:t xml:space="preserve">the need for </w:t>
      </w:r>
      <w:r w:rsidR="00A9315A" w:rsidRPr="006D172D">
        <w:t xml:space="preserve">unpaid care and </w:t>
      </w:r>
      <w:r w:rsidR="00A8646C" w:rsidRPr="006D172D">
        <w:t xml:space="preserve">social care </w:t>
      </w:r>
      <w:r w:rsidR="00A9315A" w:rsidRPr="006D172D">
        <w:t xml:space="preserve">is projected </w:t>
      </w:r>
      <w:r w:rsidR="00A8646C" w:rsidRPr="006D172D">
        <w:t xml:space="preserve">to increase by 43% by 2040. This is </w:t>
      </w:r>
      <w:r w:rsidR="00137030" w:rsidRPr="006D172D">
        <w:t>of concern as currently</w:t>
      </w:r>
      <w:r w:rsidR="00A8646C" w:rsidRPr="006D172D">
        <w:t xml:space="preserve"> social care providers </w:t>
      </w:r>
      <w:r w:rsidR="00137030" w:rsidRPr="006D172D">
        <w:t>struggle to</w:t>
      </w:r>
      <w:r w:rsidR="00A8646C" w:rsidRPr="006D172D">
        <w:t xml:space="preserve"> recruit new staff, </w:t>
      </w:r>
      <w:r w:rsidR="00B524D5" w:rsidRPr="006D172D">
        <w:t xml:space="preserve">with also </w:t>
      </w:r>
      <w:r w:rsidR="000F67BF" w:rsidRPr="006D172D">
        <w:t xml:space="preserve">current high levels of </w:t>
      </w:r>
      <w:r w:rsidR="00A8646C" w:rsidRPr="006D172D">
        <w:t>commitment of unpaid care</w:t>
      </w:r>
      <w:r w:rsidR="000F67BF" w:rsidRPr="006D172D">
        <w:t>.</w:t>
      </w:r>
      <w:r w:rsidR="00A8646C" w:rsidRPr="006D172D">
        <w:t xml:space="preserve"> </w:t>
      </w:r>
      <w:r w:rsidR="000F67BF" w:rsidRPr="006D172D">
        <w:t>A t</w:t>
      </w:r>
      <w:r w:rsidR="00A8646C" w:rsidRPr="006D172D">
        <w:t xml:space="preserve">hird of unpaid dementia carers reporting </w:t>
      </w:r>
      <w:r w:rsidR="00191CFC" w:rsidRPr="006D172D">
        <w:t>spend</w:t>
      </w:r>
      <w:r w:rsidR="00A8646C" w:rsidRPr="006D172D">
        <w:t xml:space="preserve"> 100 hours per week caring for a dementia patient.</w:t>
      </w:r>
      <w:r w:rsidR="00191CFC" w:rsidRPr="006D172D">
        <w:rPr>
          <w:vertAlign w:val="superscript"/>
        </w:rPr>
        <w:t xml:space="preserve"> 7</w:t>
      </w:r>
    </w:p>
    <w:p w14:paraId="4D5D7ED6" w14:textId="77777777" w:rsidR="003366E7" w:rsidRPr="006D172D" w:rsidRDefault="003366E7" w:rsidP="00B83501">
      <w:pPr>
        <w:pStyle w:val="BodyText"/>
        <w:ind w:left="140" w:right="1437"/>
        <w:jc w:val="both"/>
      </w:pPr>
    </w:p>
    <w:p w14:paraId="16D7A6A5" w14:textId="78F69249" w:rsidR="00520ADE" w:rsidRPr="006D172D" w:rsidRDefault="00DF2951" w:rsidP="00B83501">
      <w:pPr>
        <w:pStyle w:val="BodyText"/>
        <w:ind w:left="140" w:right="1437"/>
        <w:jc w:val="both"/>
        <w:rPr>
          <w:vertAlign w:val="superscript"/>
        </w:rPr>
      </w:pPr>
      <w:r w:rsidRPr="006D172D">
        <w:lastRenderedPageBreak/>
        <w:t xml:space="preserve">Approximately </w:t>
      </w:r>
      <w:r w:rsidR="00772ABE" w:rsidRPr="006D172D">
        <w:t>63</w:t>
      </w:r>
      <w:r w:rsidR="00D17A4B" w:rsidRPr="006D172D">
        <w:t xml:space="preserve">% of </w:t>
      </w:r>
      <w:r w:rsidR="003366E7" w:rsidRPr="006D172D">
        <w:t>the total cost of Dementia are</w:t>
      </w:r>
      <w:r w:rsidRPr="006D172D">
        <w:t xml:space="preserve"> met </w:t>
      </w:r>
      <w:r w:rsidR="00DA4C49" w:rsidRPr="006D172D">
        <w:t>patients and their families</w:t>
      </w:r>
      <w:r w:rsidRPr="006D172D">
        <w:t>, 39% by social care and 16</w:t>
      </w:r>
      <w:r w:rsidR="00D17A4B" w:rsidRPr="006D172D">
        <w:t>% by health care.</w:t>
      </w:r>
      <w:r w:rsidRPr="006D172D">
        <w:rPr>
          <w:vertAlign w:val="superscript"/>
        </w:rPr>
        <w:t>6</w:t>
      </w:r>
      <w:r w:rsidR="00D17A4B" w:rsidRPr="006D172D">
        <w:t xml:space="preserve"> Most caregiving is provided informally by spouses, adult children, other family members and friends, which can have an economic impact as they may be forced to stop working, cut back on work, or take a less demanding job to care for a family member with</w:t>
      </w:r>
      <w:r w:rsidR="00D17A4B" w:rsidRPr="006D172D">
        <w:rPr>
          <w:spacing w:val="-1"/>
        </w:rPr>
        <w:t xml:space="preserve"> </w:t>
      </w:r>
      <w:r w:rsidR="00D17A4B" w:rsidRPr="006D172D">
        <w:t>dementia.</w:t>
      </w:r>
      <w:r w:rsidR="003366E7" w:rsidRPr="006D172D">
        <w:t xml:space="preserve">  In a community setting the annual cost per person with mild Dementia is £</w:t>
      </w:r>
      <w:r w:rsidR="0096196A" w:rsidRPr="006D172D">
        <w:t>26k</w:t>
      </w:r>
      <w:r w:rsidR="003366E7" w:rsidRPr="006D172D">
        <w:t>, for those at a Moderate</w:t>
      </w:r>
      <w:r w:rsidR="0096196A" w:rsidRPr="006D172D">
        <w:t xml:space="preserve"> stage it is £43k</w:t>
      </w:r>
      <w:r w:rsidR="003366E7" w:rsidRPr="006D172D">
        <w:t xml:space="preserve"> </w:t>
      </w:r>
      <w:r w:rsidR="0096196A" w:rsidRPr="006D172D">
        <w:t>and those at a severe stage £55k.  Those living in a residential setting the annual cost per person with mild Dementia is £31k, for those at a Moderate stage it is £38k and those at a severe stage £37k.</w:t>
      </w:r>
      <w:r w:rsidR="0096196A" w:rsidRPr="006D172D">
        <w:rPr>
          <w:vertAlign w:val="superscript"/>
        </w:rPr>
        <w:t>6</w:t>
      </w:r>
    </w:p>
    <w:p w14:paraId="6A20C5AE" w14:textId="77777777" w:rsidR="00DB47CC" w:rsidRPr="006D172D" w:rsidRDefault="00DB47CC" w:rsidP="00B83501">
      <w:pPr>
        <w:pStyle w:val="BodyText"/>
        <w:ind w:left="140" w:right="1437"/>
        <w:jc w:val="both"/>
      </w:pPr>
    </w:p>
    <w:p w14:paraId="064C97D4" w14:textId="77777777" w:rsidR="00520ADE" w:rsidRPr="006D172D" w:rsidRDefault="00DB47CC" w:rsidP="00B83501">
      <w:pPr>
        <w:pStyle w:val="Heading2"/>
        <w:ind w:left="142" w:right="1418"/>
      </w:pPr>
      <w:bookmarkStart w:id="6" w:name="_Toc236218945"/>
      <w:r w:rsidRPr="006D172D">
        <w:t>2.3</w:t>
      </w:r>
      <w:r w:rsidRPr="006D172D">
        <w:tab/>
      </w:r>
      <w:r w:rsidR="00D17A4B" w:rsidRPr="006D172D">
        <w:t>The number and characteristics</w:t>
      </w:r>
      <w:r w:rsidRPr="006D172D">
        <w:t xml:space="preserve"> of people affected by dementia – National picture</w:t>
      </w:r>
      <w:bookmarkEnd w:id="6"/>
    </w:p>
    <w:p w14:paraId="43695DE8" w14:textId="77777777" w:rsidR="00DB47CC" w:rsidRPr="006D172D" w:rsidRDefault="00DB47CC" w:rsidP="00B83501">
      <w:pPr>
        <w:pStyle w:val="BodyText"/>
      </w:pPr>
    </w:p>
    <w:p w14:paraId="3C446878" w14:textId="331E25C6" w:rsidR="00520ADE" w:rsidRDefault="00D17A4B" w:rsidP="00B83501">
      <w:pPr>
        <w:pStyle w:val="BodyText"/>
        <w:ind w:left="140" w:right="1434"/>
        <w:jc w:val="both"/>
      </w:pPr>
      <w:r w:rsidRPr="006D172D">
        <w:t xml:space="preserve">There are </w:t>
      </w:r>
      <w:r w:rsidR="00FF6A3C" w:rsidRPr="006D172D">
        <w:t>982</w:t>
      </w:r>
      <w:r w:rsidRPr="006D172D">
        <w:t>,000 people living with dementia in the UK today</w:t>
      </w:r>
      <w:r w:rsidR="00A0471D" w:rsidRPr="006D172D">
        <w:t>, this is a</w:t>
      </w:r>
      <w:r w:rsidR="00CE4FB6" w:rsidRPr="006D172D">
        <w:t xml:space="preserve">n </w:t>
      </w:r>
      <w:r w:rsidR="008137ED" w:rsidRPr="006D172D">
        <w:t>all-age</w:t>
      </w:r>
      <w:r w:rsidR="00A0471D" w:rsidRPr="006D172D">
        <w:t xml:space="preserve"> </w:t>
      </w:r>
      <w:r w:rsidR="000D59A0" w:rsidRPr="006D172D">
        <w:t>prevalence</w:t>
      </w:r>
      <w:r w:rsidR="00CE4FB6" w:rsidRPr="006D172D">
        <w:t xml:space="preserve"> rate of 1.42%</w:t>
      </w:r>
      <w:r w:rsidR="00E60431" w:rsidRPr="006D172D">
        <w:t>.</w:t>
      </w:r>
      <w:r w:rsidR="00732A16" w:rsidRPr="006D172D">
        <w:rPr>
          <w:vertAlign w:val="superscript"/>
        </w:rPr>
        <w:t>2</w:t>
      </w:r>
      <w:r w:rsidRPr="006D172D">
        <w:t xml:space="preserve"> By 20</w:t>
      </w:r>
      <w:r w:rsidR="00CA0C89" w:rsidRPr="006D172D">
        <w:t>40</w:t>
      </w:r>
      <w:r w:rsidRPr="006D172D">
        <w:t xml:space="preserve"> the number is expected to rise to </w:t>
      </w:r>
      <w:r w:rsidR="001D5428" w:rsidRPr="006D172D">
        <w:t>1.4</w:t>
      </w:r>
      <w:r w:rsidRPr="006D172D">
        <w:t xml:space="preserve"> million</w:t>
      </w:r>
      <w:r w:rsidR="000D59A0" w:rsidRPr="006D172D">
        <w:t xml:space="preserve"> (all age prevalence rate of 1.87%)</w:t>
      </w:r>
      <w:r w:rsidRPr="006D172D">
        <w:t xml:space="preserve">. In the UK it is estimated that </w:t>
      </w:r>
      <w:r w:rsidR="00A548F5" w:rsidRPr="006D172D">
        <w:t>56</w:t>
      </w:r>
      <w:r w:rsidRPr="006D172D">
        <w:t xml:space="preserve"> per cent of people with dementia are female and </w:t>
      </w:r>
      <w:r w:rsidR="000D59A0" w:rsidRPr="006D172D">
        <w:t>44</w:t>
      </w:r>
      <w:r w:rsidRPr="006D172D">
        <w:t xml:space="preserve"> percent are male</w:t>
      </w:r>
      <w:r w:rsidR="001F6735" w:rsidRPr="006D172D">
        <w:rPr>
          <w:vertAlign w:val="superscript"/>
        </w:rPr>
        <w:t>2</w:t>
      </w:r>
      <w:r w:rsidRPr="006D172D">
        <w:t>.</w:t>
      </w:r>
      <w:r w:rsidR="00732A16" w:rsidRPr="006D172D">
        <w:t xml:space="preserve">  The reason for the difference is mostly because women live longer than men</w:t>
      </w:r>
      <w:r w:rsidR="003A151E">
        <w:t>.</w:t>
      </w:r>
    </w:p>
    <w:p w14:paraId="59D2131B" w14:textId="77777777" w:rsidR="003A151E" w:rsidRPr="006D172D" w:rsidRDefault="003A151E" w:rsidP="00B83501">
      <w:pPr>
        <w:pStyle w:val="BodyText"/>
        <w:ind w:left="140" w:right="1434"/>
        <w:jc w:val="both"/>
      </w:pPr>
    </w:p>
    <w:p w14:paraId="27689F9C" w14:textId="0CCC71F0" w:rsidR="00DB283F" w:rsidRDefault="00D17A4B" w:rsidP="00B83501">
      <w:pPr>
        <w:pStyle w:val="BodyText"/>
        <w:ind w:left="140" w:right="1437"/>
        <w:jc w:val="both"/>
        <w:rPr>
          <w:vertAlign w:val="superscript"/>
        </w:rPr>
      </w:pPr>
      <w:r w:rsidRPr="006D172D">
        <w:t>Dementia</w:t>
      </w:r>
      <w:r w:rsidR="00C660F7" w:rsidRPr="006D172D">
        <w:t xml:space="preserve"> and Alzheimer disease</w:t>
      </w:r>
      <w:r w:rsidRPr="006D172D">
        <w:t xml:space="preserve"> is the </w:t>
      </w:r>
      <w:hyperlink r:id="rId16">
        <w:r w:rsidRPr="006D172D">
          <w:t xml:space="preserve">leading cause of death </w:t>
        </w:r>
      </w:hyperlink>
      <w:r w:rsidRPr="006D172D">
        <w:t xml:space="preserve">in </w:t>
      </w:r>
      <w:r w:rsidR="00B1664E" w:rsidRPr="006D172D">
        <w:t>England and Wales</w:t>
      </w:r>
      <w:r w:rsidRPr="006D172D">
        <w:t xml:space="preserve"> with 1</w:t>
      </w:r>
      <w:r w:rsidR="00B04C62" w:rsidRPr="006D172D">
        <w:t>1.4</w:t>
      </w:r>
      <w:r w:rsidR="00B1664E" w:rsidRPr="006D172D">
        <w:t>%</w:t>
      </w:r>
      <w:r w:rsidRPr="006D172D">
        <w:t xml:space="preserve"> (</w:t>
      </w:r>
      <w:r w:rsidR="00B1664E" w:rsidRPr="006D172D">
        <w:t>6</w:t>
      </w:r>
      <w:r w:rsidR="00B61735" w:rsidRPr="006D172D">
        <w:t>5,967</w:t>
      </w:r>
      <w:r w:rsidRPr="006D172D">
        <w:t xml:space="preserve">) of deaths </w:t>
      </w:r>
      <w:r w:rsidR="00C660F7" w:rsidRPr="006D172D">
        <w:t>registered in 20</w:t>
      </w:r>
      <w:r w:rsidR="000C44FB" w:rsidRPr="006D172D">
        <w:t>22</w:t>
      </w:r>
      <w:r w:rsidR="00C660F7" w:rsidRPr="006D172D">
        <w:t xml:space="preserve"> </w:t>
      </w:r>
      <w:r w:rsidRPr="006D172D">
        <w:t>attributed directly to the condition</w:t>
      </w:r>
      <w:r w:rsidR="00B1664E" w:rsidRPr="006D172D">
        <w:t>, this is up from 1</w:t>
      </w:r>
      <w:r w:rsidR="0022052F" w:rsidRPr="006D172D">
        <w:t>0</w:t>
      </w:r>
      <w:r w:rsidR="00B1664E" w:rsidRPr="006D172D">
        <w:t>.</w:t>
      </w:r>
      <w:r w:rsidR="0022052F" w:rsidRPr="006D172D">
        <w:t>4</w:t>
      </w:r>
      <w:r w:rsidR="00B1664E" w:rsidRPr="006D172D">
        <w:t>% in 20</w:t>
      </w:r>
      <w:r w:rsidR="0022052F" w:rsidRPr="006D172D">
        <w:t>21</w:t>
      </w:r>
      <w:r w:rsidRPr="006D172D">
        <w:t>.</w:t>
      </w:r>
      <w:r w:rsidR="00845CCB" w:rsidRPr="006D172D">
        <w:rPr>
          <w:vertAlign w:val="superscript"/>
        </w:rPr>
        <w:t>3</w:t>
      </w:r>
      <w:r w:rsidR="00C660F7" w:rsidRPr="006D172D">
        <w:t xml:space="preserve"> </w:t>
      </w:r>
      <w:r w:rsidR="00B1664E" w:rsidRPr="006D172D">
        <w:t xml:space="preserve">For women, </w:t>
      </w:r>
      <w:r w:rsidR="006A008B" w:rsidRPr="006D172D">
        <w:t>it</w:t>
      </w:r>
      <w:r w:rsidR="00B1664E" w:rsidRPr="006D172D">
        <w:t xml:space="preserve"> is also</w:t>
      </w:r>
      <w:r w:rsidR="00323411" w:rsidRPr="006D172D">
        <w:t xml:space="preserve"> the leading cause of death, accounti</w:t>
      </w:r>
      <w:r w:rsidR="00B1664E" w:rsidRPr="006D172D">
        <w:t>ng for 15% (4</w:t>
      </w:r>
      <w:r w:rsidR="004D25BD" w:rsidRPr="006D172D">
        <w:t>2</w:t>
      </w:r>
      <w:r w:rsidR="00B1664E" w:rsidRPr="006D172D">
        <w:t>,</w:t>
      </w:r>
      <w:r w:rsidR="004D25BD" w:rsidRPr="006D172D">
        <w:t>6</w:t>
      </w:r>
      <w:r w:rsidR="00C01922" w:rsidRPr="006D172D">
        <w:t>26</w:t>
      </w:r>
      <w:r w:rsidR="00B1664E" w:rsidRPr="006D172D">
        <w:t>) of deaths in 20</w:t>
      </w:r>
      <w:r w:rsidR="004D25BD" w:rsidRPr="006D172D">
        <w:t>22</w:t>
      </w:r>
      <w:r w:rsidR="00B1664E" w:rsidRPr="006D172D">
        <w:t>.</w:t>
      </w:r>
      <w:r w:rsidRPr="006D172D">
        <w:t xml:space="preserve"> </w:t>
      </w:r>
      <w:r w:rsidR="00323411" w:rsidRPr="006D172D">
        <w:t>For men Dementia and Alzheimer disease i</w:t>
      </w:r>
      <w:r w:rsidR="006A008B" w:rsidRPr="006D172D">
        <w:t>s</w:t>
      </w:r>
      <w:r w:rsidR="00323411" w:rsidRPr="006D172D">
        <w:t xml:space="preserve"> the second leading cause of death with 8.</w:t>
      </w:r>
      <w:r w:rsidR="006B605E" w:rsidRPr="006D172D">
        <w:t>0</w:t>
      </w:r>
      <w:r w:rsidR="00323411" w:rsidRPr="006D172D">
        <w:t>% (2</w:t>
      </w:r>
      <w:r w:rsidR="00EF0B30" w:rsidRPr="006D172D">
        <w:t>3</w:t>
      </w:r>
      <w:r w:rsidR="00323411" w:rsidRPr="006D172D">
        <w:t>,</w:t>
      </w:r>
      <w:r w:rsidR="00EF0B30" w:rsidRPr="006D172D">
        <w:t>325</w:t>
      </w:r>
      <w:r w:rsidR="00323411" w:rsidRPr="006D172D">
        <w:t>) of deaths</w:t>
      </w:r>
      <w:r w:rsidR="00EF0B30" w:rsidRPr="006D172D">
        <w:t xml:space="preserve"> in 2022 in England and Wales</w:t>
      </w:r>
      <w:r w:rsidR="00243F06" w:rsidRPr="006D172D">
        <w:rPr>
          <w:vertAlign w:val="superscript"/>
        </w:rPr>
        <w:t>4</w:t>
      </w:r>
      <w:r w:rsidR="007B336D" w:rsidRPr="006D172D">
        <w:t xml:space="preserve"> If a person aged under 65 develops Dementia, this is of often referred to a </w:t>
      </w:r>
      <w:r w:rsidR="0019440B" w:rsidRPr="006D172D">
        <w:t>‘</w:t>
      </w:r>
      <w:r w:rsidR="00F23C8E" w:rsidRPr="006D172D">
        <w:t xml:space="preserve">young-onset </w:t>
      </w:r>
      <w:r w:rsidR="0019440B" w:rsidRPr="006D172D">
        <w:t>dementia’</w:t>
      </w:r>
      <w:r w:rsidR="005A5131" w:rsidRPr="006D172D">
        <w:t>.</w:t>
      </w:r>
      <w:r w:rsidR="0019440B" w:rsidRPr="006D172D">
        <w:t xml:space="preserve"> </w:t>
      </w:r>
      <w:r w:rsidR="005A5131" w:rsidRPr="006D172D">
        <w:t xml:space="preserve"> </w:t>
      </w:r>
      <w:r w:rsidRPr="006D172D">
        <w:t xml:space="preserve">In the UK over </w:t>
      </w:r>
      <w:r w:rsidR="00335C7D" w:rsidRPr="006D172D">
        <w:t>70,800</w:t>
      </w:r>
      <w:r w:rsidRPr="006D172D">
        <w:t xml:space="preserve"> people </w:t>
      </w:r>
      <w:r w:rsidR="00F82944" w:rsidRPr="006D172D">
        <w:t xml:space="preserve">are living with </w:t>
      </w:r>
      <w:r w:rsidR="00A52477" w:rsidRPr="006D172D">
        <w:t>‘</w:t>
      </w:r>
      <w:r w:rsidR="00F82944" w:rsidRPr="006D172D">
        <w:t>young-onset dementia</w:t>
      </w:r>
      <w:r w:rsidR="00A52477" w:rsidRPr="006D172D">
        <w:t>’</w:t>
      </w:r>
      <w:r w:rsidR="00E71A92" w:rsidRPr="006D172D">
        <w:t>, this equating to 7</w:t>
      </w:r>
      <w:r w:rsidR="00235C86" w:rsidRPr="006D172D">
        <w:t xml:space="preserve">% of all </w:t>
      </w:r>
      <w:r w:rsidR="008137ED" w:rsidRPr="006D172D">
        <w:t>pupils</w:t>
      </w:r>
      <w:r w:rsidR="00235C86" w:rsidRPr="006D172D">
        <w:t xml:space="preserve"> with Dementia</w:t>
      </w:r>
      <w:r w:rsidR="004E1CD0" w:rsidRPr="006D172D">
        <w:t>.</w:t>
      </w:r>
      <w:r w:rsidR="00235C86" w:rsidRPr="006D172D">
        <w:rPr>
          <w:vertAlign w:val="superscript"/>
        </w:rPr>
        <w:t>9</w:t>
      </w:r>
    </w:p>
    <w:p w14:paraId="4BA9F9D7" w14:textId="77777777" w:rsidR="003A151E" w:rsidRPr="006D172D" w:rsidRDefault="003A151E" w:rsidP="00F30EC5">
      <w:pPr>
        <w:pStyle w:val="BodyText"/>
        <w:ind w:left="140" w:right="1437"/>
        <w:jc w:val="both"/>
      </w:pPr>
    </w:p>
    <w:p w14:paraId="4A53D2D4" w14:textId="77777777" w:rsidR="005C0807" w:rsidRPr="006D172D" w:rsidRDefault="005C0807" w:rsidP="00F30EC5">
      <w:pPr>
        <w:pStyle w:val="BodyText"/>
        <w:ind w:right="1437"/>
        <w:jc w:val="both"/>
        <w:rPr>
          <w:color w:val="333333"/>
        </w:rPr>
      </w:pPr>
    </w:p>
    <w:p w14:paraId="71B2A4C2" w14:textId="3B4DD43A" w:rsidR="003B5011" w:rsidRPr="00727A24" w:rsidRDefault="003A151E" w:rsidP="00B83501">
      <w:pPr>
        <w:pStyle w:val="Heading1"/>
        <w:tabs>
          <w:tab w:val="left" w:pos="861"/>
        </w:tabs>
        <w:jc w:val="both"/>
        <w:rPr>
          <w:sz w:val="24"/>
          <w:szCs w:val="24"/>
          <w:u w:val="single"/>
        </w:rPr>
      </w:pPr>
      <w:bookmarkStart w:id="7" w:name="_Toc236218946"/>
      <w:r w:rsidRPr="003A151E">
        <w:rPr>
          <w:sz w:val="24"/>
          <w:szCs w:val="24"/>
          <w:u w:val="single"/>
        </w:rPr>
        <w:t>3.0</w:t>
      </w:r>
      <w:r w:rsidRPr="003A151E">
        <w:rPr>
          <w:sz w:val="24"/>
          <w:szCs w:val="24"/>
          <w:u w:val="single"/>
        </w:rPr>
        <w:tab/>
        <w:t>WHO IS MOST AT RISK?</w:t>
      </w:r>
      <w:bookmarkEnd w:id="7"/>
    </w:p>
    <w:p w14:paraId="6D67A0D5" w14:textId="77777777" w:rsidR="003B5011" w:rsidRPr="006D172D" w:rsidRDefault="003B5011" w:rsidP="00B83501">
      <w:pPr>
        <w:pStyle w:val="BodyText"/>
      </w:pPr>
    </w:p>
    <w:p w14:paraId="3B91FD0C" w14:textId="33BCE4C3" w:rsidR="003B5011" w:rsidRDefault="003B5011" w:rsidP="00B83501">
      <w:pPr>
        <w:pStyle w:val="BodyText"/>
        <w:ind w:left="140" w:right="1434"/>
        <w:jc w:val="both"/>
      </w:pPr>
      <w:r w:rsidRPr="006D172D">
        <w:t>The biggest risk factor for dementia is age, the older people are the more likely they are to develop the condition, but it is not an inevitable part of ageing. About two in 100 people aged 65 to 69 years have dementia, and this figure rises to one in five for those aged 85 to 89</w:t>
      </w:r>
      <w:r w:rsidR="00B943D5" w:rsidRPr="006D172D">
        <w:t xml:space="preserve"> and those 90+ it increases further to </w:t>
      </w:r>
      <w:r w:rsidR="0069672E" w:rsidRPr="006D172D">
        <w:t>one in three</w:t>
      </w:r>
      <w:r w:rsidRPr="006D172D">
        <w:t>.</w:t>
      </w:r>
      <w:r w:rsidR="00485C3D" w:rsidRPr="006D172D">
        <w:rPr>
          <w:vertAlign w:val="superscript"/>
        </w:rPr>
        <w:t>1</w:t>
      </w:r>
      <w:r w:rsidR="0069188F">
        <w:rPr>
          <w:vertAlign w:val="superscript"/>
        </w:rPr>
        <w:t>2</w:t>
      </w:r>
      <w:r w:rsidRPr="006D172D">
        <w:t xml:space="preserve"> Evidence suggests this a</w:t>
      </w:r>
      <w:r w:rsidR="004F57C7" w:rsidRPr="006D172D">
        <w:t>ppears to be true for Dementia w</w:t>
      </w:r>
      <w:r w:rsidRPr="006D172D">
        <w:t xml:space="preserve">ith Lewy Bodies (DLB) </w:t>
      </w:r>
      <w:r w:rsidR="004F57C7" w:rsidRPr="006D172D">
        <w:t>also;</w:t>
      </w:r>
      <w:r w:rsidRPr="006D172D">
        <w:t xml:space="preserve"> however, there is very little evidence about the risk factors for this disease.</w:t>
      </w:r>
    </w:p>
    <w:p w14:paraId="6D0BB385" w14:textId="77777777" w:rsidR="003A151E" w:rsidRPr="006D172D" w:rsidRDefault="003A151E" w:rsidP="00B83501">
      <w:pPr>
        <w:pStyle w:val="BodyText"/>
        <w:ind w:left="140" w:right="1434"/>
        <w:jc w:val="both"/>
      </w:pPr>
    </w:p>
    <w:p w14:paraId="6AA57DF6" w14:textId="51DB966B" w:rsidR="003B5011" w:rsidRDefault="003B5011" w:rsidP="00B83501">
      <w:pPr>
        <w:pStyle w:val="BodyText"/>
        <w:ind w:left="140" w:right="1434"/>
        <w:jc w:val="both"/>
        <w:rPr>
          <w:lang w:val="en"/>
        </w:rPr>
      </w:pPr>
      <w:r w:rsidRPr="00A83D9E">
        <w:t>Alzheimer’s is a common disease which means it is quite common for people to have a relative with the condition, but this does not mean people inherit the condition. Some research has suggested that if there is a parent or grandparent with Alzheimer’s and they developed the disease over the age of 65, then the risk of developing it may be slightly higher than someone with no family history. Research has identified some genes that may be associated with a higher risk of late-onset Alzheimer’s in some people. This is helping the understanding about the causes of Alzheimer’s.</w:t>
      </w:r>
      <w:r w:rsidR="000A1643" w:rsidRPr="00A83D9E">
        <w:t xml:space="preserve"> </w:t>
      </w:r>
      <w:r w:rsidR="00821170">
        <w:t>Causes</w:t>
      </w:r>
      <w:r w:rsidR="000A1643" w:rsidRPr="00A83D9E">
        <w:rPr>
          <w:lang w:val="en"/>
        </w:rPr>
        <w:t xml:space="preserve"> of dementia </w:t>
      </w:r>
      <w:r w:rsidR="00821170">
        <w:rPr>
          <w:lang w:val="en"/>
        </w:rPr>
        <w:t>can be</w:t>
      </w:r>
      <w:r w:rsidR="000A1643" w:rsidRPr="00A83D9E">
        <w:rPr>
          <w:lang w:val="en"/>
        </w:rPr>
        <w:t xml:space="preserve"> inherited but these are rare, for example, Huntington's disease. This is an 'autosomal dominant' disease where only one faulty copy of the gene </w:t>
      </w:r>
      <w:r w:rsidR="00123A0B">
        <w:rPr>
          <w:lang w:val="en"/>
        </w:rPr>
        <w:t>causes a person</w:t>
      </w:r>
      <w:r w:rsidR="000A1643" w:rsidRPr="00A83D9E">
        <w:rPr>
          <w:lang w:val="en"/>
        </w:rPr>
        <w:t xml:space="preserve"> to inherit the disease. In the case of frontotemporal dementias, 30 to 50 per cent of cases are inherited</w:t>
      </w:r>
      <w:r w:rsidR="000A1643" w:rsidRPr="00A83D9E">
        <w:rPr>
          <w:vertAlign w:val="superscript"/>
          <w:lang w:val="en"/>
        </w:rPr>
        <w:t>8</w:t>
      </w:r>
      <w:r w:rsidR="000A1643" w:rsidRPr="00A83D9E">
        <w:rPr>
          <w:lang w:val="en"/>
        </w:rPr>
        <w:t>.</w:t>
      </w:r>
    </w:p>
    <w:p w14:paraId="2E720B83" w14:textId="77777777" w:rsidR="003A151E" w:rsidRPr="006D172D" w:rsidRDefault="003A151E" w:rsidP="00ED4350">
      <w:pPr>
        <w:pStyle w:val="BodyText"/>
        <w:ind w:left="140" w:right="1434"/>
        <w:jc w:val="both"/>
      </w:pPr>
    </w:p>
    <w:p w14:paraId="69DE46F1" w14:textId="4CFBCD14" w:rsidR="003B5011" w:rsidRPr="006D172D" w:rsidRDefault="003B5011" w:rsidP="00ED4350">
      <w:pPr>
        <w:pStyle w:val="BodyText"/>
        <w:ind w:left="140" w:right="1435"/>
        <w:jc w:val="both"/>
      </w:pPr>
      <w:r w:rsidRPr="00A83D9E">
        <w:t xml:space="preserve">People who have developed mild memory problems, which do not interfere with normal daily activities, are at increased risk of developing Alzheimer’s. This is often referred </w:t>
      </w:r>
      <w:r w:rsidRPr="00A83D9E">
        <w:lastRenderedPageBreak/>
        <w:t xml:space="preserve">to as mild cognitive impairment (MCI). However, many people with MCI do not develop Alzheimer’s and some even regain normal memory function. People with Down’s syndrome are at increased risk of developing </w:t>
      </w:r>
      <w:r w:rsidR="006D6AC9" w:rsidRPr="00A83D9E">
        <w:t>Alzheimer’s and</w:t>
      </w:r>
      <w:r w:rsidRPr="00A83D9E">
        <w:t xml:space="preserve"> are more likely to develop the disease at an earlier</w:t>
      </w:r>
      <w:r w:rsidRPr="00A83D9E">
        <w:rPr>
          <w:spacing w:val="-10"/>
        </w:rPr>
        <w:t xml:space="preserve"> </w:t>
      </w:r>
      <w:r w:rsidRPr="00A83D9E">
        <w:t>age.</w:t>
      </w:r>
    </w:p>
    <w:p w14:paraId="0F548011" w14:textId="77777777" w:rsidR="00C07FF5" w:rsidRPr="006D172D" w:rsidRDefault="00C07FF5" w:rsidP="00B83501">
      <w:pPr>
        <w:jc w:val="both"/>
      </w:pPr>
    </w:p>
    <w:p w14:paraId="37C1D0F6" w14:textId="37FBE07B" w:rsidR="00C07FF5" w:rsidRPr="00A83D9E" w:rsidRDefault="00C07FF5" w:rsidP="00ED4350">
      <w:pPr>
        <w:pStyle w:val="BodyText"/>
        <w:ind w:left="142" w:right="1440"/>
        <w:jc w:val="both"/>
      </w:pPr>
      <w:r w:rsidRPr="00A83D9E">
        <w:t xml:space="preserve">In terms of vascular </w:t>
      </w:r>
      <w:r w:rsidR="003F79BC" w:rsidRPr="00A83D9E">
        <w:t>dementia,</w:t>
      </w:r>
      <w:r w:rsidRPr="00A83D9E">
        <w:t xml:space="preserve"> </w:t>
      </w:r>
      <w:r w:rsidR="00342251" w:rsidRPr="00A83D9E">
        <w:t>several</w:t>
      </w:r>
      <w:r w:rsidRPr="00A83D9E">
        <w:t xml:space="preserve"> factors may increase the likelihood of damage to blood vessels in the brain. These include:</w:t>
      </w:r>
    </w:p>
    <w:p w14:paraId="217A3D78" w14:textId="77777777" w:rsidR="00C07FF5" w:rsidRPr="00A83D9E" w:rsidRDefault="00C07FF5" w:rsidP="00ED4350">
      <w:pPr>
        <w:pStyle w:val="ListParagraph"/>
        <w:numPr>
          <w:ilvl w:val="1"/>
          <w:numId w:val="16"/>
        </w:numPr>
        <w:tabs>
          <w:tab w:val="left" w:pos="853"/>
          <w:tab w:val="left" w:pos="854"/>
        </w:tabs>
        <w:ind w:hanging="362"/>
        <w:rPr>
          <w:sz w:val="24"/>
        </w:rPr>
      </w:pPr>
      <w:r w:rsidRPr="00A83D9E">
        <w:rPr>
          <w:sz w:val="24"/>
        </w:rPr>
        <w:t>Smoking</w:t>
      </w:r>
    </w:p>
    <w:p w14:paraId="6994DEBC" w14:textId="77777777" w:rsidR="00C07FF5" w:rsidRPr="00A83D9E" w:rsidRDefault="00C07FF5" w:rsidP="00ED4350">
      <w:pPr>
        <w:pStyle w:val="ListParagraph"/>
        <w:numPr>
          <w:ilvl w:val="1"/>
          <w:numId w:val="16"/>
        </w:numPr>
        <w:tabs>
          <w:tab w:val="left" w:pos="853"/>
          <w:tab w:val="left" w:pos="854"/>
        </w:tabs>
        <w:ind w:hanging="362"/>
        <w:rPr>
          <w:sz w:val="24"/>
        </w:rPr>
      </w:pPr>
      <w:r w:rsidRPr="00A83D9E">
        <w:rPr>
          <w:sz w:val="24"/>
        </w:rPr>
        <w:t>High blood pressure (known as hypertension)</w:t>
      </w:r>
    </w:p>
    <w:p w14:paraId="0F31D0B4" w14:textId="77777777" w:rsidR="00C07FF5" w:rsidRPr="00A83D9E" w:rsidRDefault="00C07FF5" w:rsidP="00ED4350">
      <w:pPr>
        <w:pStyle w:val="ListParagraph"/>
        <w:numPr>
          <w:ilvl w:val="1"/>
          <w:numId w:val="16"/>
        </w:numPr>
        <w:tabs>
          <w:tab w:val="left" w:pos="853"/>
          <w:tab w:val="left" w:pos="854"/>
        </w:tabs>
        <w:ind w:hanging="362"/>
        <w:rPr>
          <w:sz w:val="24"/>
        </w:rPr>
      </w:pPr>
      <w:r w:rsidRPr="00A83D9E">
        <w:rPr>
          <w:sz w:val="24"/>
        </w:rPr>
        <w:t>High</w:t>
      </w:r>
      <w:r w:rsidRPr="00A83D9E">
        <w:rPr>
          <w:spacing w:val="-3"/>
          <w:sz w:val="24"/>
        </w:rPr>
        <w:t xml:space="preserve"> </w:t>
      </w:r>
      <w:r w:rsidRPr="00A83D9E">
        <w:rPr>
          <w:sz w:val="24"/>
        </w:rPr>
        <w:t>cholesterol</w:t>
      </w:r>
    </w:p>
    <w:p w14:paraId="05204D48" w14:textId="77777777" w:rsidR="00C07FF5" w:rsidRPr="00A83D9E" w:rsidRDefault="00C07FF5" w:rsidP="00ED4350">
      <w:pPr>
        <w:pStyle w:val="ListParagraph"/>
        <w:numPr>
          <w:ilvl w:val="1"/>
          <w:numId w:val="16"/>
        </w:numPr>
        <w:tabs>
          <w:tab w:val="left" w:pos="853"/>
          <w:tab w:val="left" w:pos="854"/>
        </w:tabs>
        <w:ind w:hanging="362"/>
        <w:rPr>
          <w:sz w:val="24"/>
        </w:rPr>
      </w:pPr>
      <w:r w:rsidRPr="00A83D9E">
        <w:rPr>
          <w:sz w:val="24"/>
        </w:rPr>
        <w:t>Type 2</w:t>
      </w:r>
      <w:r w:rsidRPr="00A83D9E">
        <w:rPr>
          <w:spacing w:val="-4"/>
          <w:sz w:val="24"/>
        </w:rPr>
        <w:t xml:space="preserve"> </w:t>
      </w:r>
      <w:r w:rsidRPr="00A83D9E">
        <w:rPr>
          <w:sz w:val="24"/>
        </w:rPr>
        <w:t>diabetes</w:t>
      </w:r>
    </w:p>
    <w:p w14:paraId="73B8ECCC" w14:textId="77777777" w:rsidR="00F729DA" w:rsidRDefault="00C07FF5" w:rsidP="00807842">
      <w:pPr>
        <w:pStyle w:val="ListParagraph"/>
        <w:numPr>
          <w:ilvl w:val="1"/>
          <w:numId w:val="16"/>
        </w:numPr>
        <w:tabs>
          <w:tab w:val="left" w:pos="853"/>
          <w:tab w:val="left" w:pos="854"/>
        </w:tabs>
        <w:ind w:hanging="362"/>
        <w:rPr>
          <w:sz w:val="24"/>
        </w:rPr>
      </w:pPr>
      <w:r w:rsidRPr="00A83D9E">
        <w:rPr>
          <w:sz w:val="24"/>
        </w:rPr>
        <w:t>Obesity</w:t>
      </w:r>
    </w:p>
    <w:p w14:paraId="3EF2D33C" w14:textId="3A80A14D" w:rsidR="00C07FF5" w:rsidRPr="00807842" w:rsidRDefault="00C07FF5" w:rsidP="00807842">
      <w:pPr>
        <w:pStyle w:val="ListParagraph"/>
        <w:numPr>
          <w:ilvl w:val="1"/>
          <w:numId w:val="16"/>
        </w:numPr>
        <w:tabs>
          <w:tab w:val="left" w:pos="853"/>
          <w:tab w:val="left" w:pos="854"/>
        </w:tabs>
        <w:ind w:hanging="362"/>
        <w:rPr>
          <w:sz w:val="24"/>
        </w:rPr>
      </w:pPr>
      <w:r w:rsidRPr="00807842">
        <w:rPr>
          <w:sz w:val="24"/>
        </w:rPr>
        <w:t>Circulatory system</w:t>
      </w:r>
      <w:r w:rsidRPr="00807842">
        <w:rPr>
          <w:spacing w:val="-4"/>
          <w:sz w:val="24"/>
        </w:rPr>
        <w:t xml:space="preserve"> </w:t>
      </w:r>
      <w:r w:rsidRPr="00807842">
        <w:rPr>
          <w:sz w:val="24"/>
        </w:rPr>
        <w:t>problems.</w:t>
      </w:r>
    </w:p>
    <w:p w14:paraId="768A3581" w14:textId="77777777" w:rsidR="003A151E" w:rsidRPr="00A83D9E" w:rsidRDefault="003A151E" w:rsidP="003A151E">
      <w:pPr>
        <w:pStyle w:val="ListParagraph"/>
        <w:tabs>
          <w:tab w:val="left" w:pos="853"/>
          <w:tab w:val="left" w:pos="854"/>
        </w:tabs>
        <w:ind w:left="1440" w:firstLine="0"/>
        <w:rPr>
          <w:sz w:val="24"/>
        </w:rPr>
      </w:pPr>
    </w:p>
    <w:p w14:paraId="049E7859" w14:textId="10DC9AEA" w:rsidR="00C07FF5" w:rsidRPr="006D172D" w:rsidRDefault="00C07FF5" w:rsidP="00ED4350">
      <w:pPr>
        <w:pStyle w:val="BodyText"/>
        <w:ind w:left="140" w:right="1438"/>
        <w:jc w:val="both"/>
      </w:pPr>
      <w:r w:rsidRPr="00A83D9E">
        <w:t xml:space="preserve">For this reason, </w:t>
      </w:r>
      <w:r w:rsidR="00CF399A" w:rsidRPr="00A83D9E">
        <w:t>all</w:t>
      </w:r>
      <w:r w:rsidRPr="00A83D9E">
        <w:t xml:space="preserve"> these factors can increase a person’s risk of vascular dementia. In exceptionally rare cases, vascular dementia can be caused by an inherited genetic disorder. Although some of these risk factors can have a genetic basis, managing high blood pressure and high cholesterol might help to lower the risk of vascular dementia. Some research suggests that regular exercise and a healthy diet, especially in midlife and beyond, might help to lower</w:t>
      </w:r>
      <w:r w:rsidRPr="00A83D9E">
        <w:rPr>
          <w:spacing w:val="-14"/>
        </w:rPr>
        <w:t xml:space="preserve"> </w:t>
      </w:r>
      <w:r w:rsidRPr="00A83D9E">
        <w:t>risk.</w:t>
      </w:r>
    </w:p>
    <w:p w14:paraId="445AB0F2" w14:textId="77777777" w:rsidR="00D05DB0" w:rsidRPr="006D172D" w:rsidRDefault="00D05DB0" w:rsidP="00ED4350">
      <w:pPr>
        <w:pStyle w:val="BodyText"/>
        <w:ind w:left="140" w:right="1438"/>
        <w:jc w:val="both"/>
      </w:pPr>
    </w:p>
    <w:p w14:paraId="4E7B8FC0" w14:textId="348BF8D3" w:rsidR="00E43B7F" w:rsidRDefault="003A151E" w:rsidP="00B83501">
      <w:pPr>
        <w:pStyle w:val="Heading1"/>
        <w:rPr>
          <w:sz w:val="24"/>
          <w:szCs w:val="24"/>
          <w:u w:val="single"/>
          <w:vertAlign w:val="superscript"/>
        </w:rPr>
      </w:pPr>
      <w:bookmarkStart w:id="8" w:name="_Toc236218947"/>
      <w:r w:rsidRPr="003A151E">
        <w:rPr>
          <w:sz w:val="24"/>
          <w:szCs w:val="24"/>
          <w:u w:val="single"/>
        </w:rPr>
        <w:t>4.0</w:t>
      </w:r>
      <w:r w:rsidRPr="003A151E">
        <w:rPr>
          <w:sz w:val="24"/>
          <w:szCs w:val="24"/>
          <w:u w:val="single"/>
        </w:rPr>
        <w:tab/>
        <w:t>PREVENTING DEMENTIA</w:t>
      </w:r>
      <w:r w:rsidRPr="003A151E">
        <w:rPr>
          <w:sz w:val="24"/>
          <w:szCs w:val="24"/>
          <w:u w:val="single"/>
          <w:vertAlign w:val="superscript"/>
        </w:rPr>
        <w:t>16</w:t>
      </w:r>
      <w:bookmarkEnd w:id="8"/>
    </w:p>
    <w:p w14:paraId="3F8E9BA5" w14:textId="77777777" w:rsidR="003A151E" w:rsidRPr="00ED4350" w:rsidRDefault="003A151E" w:rsidP="00B83501">
      <w:pPr>
        <w:pStyle w:val="Heading1"/>
        <w:rPr>
          <w:sz w:val="24"/>
          <w:szCs w:val="24"/>
          <w:u w:val="single"/>
        </w:rPr>
      </w:pPr>
    </w:p>
    <w:p w14:paraId="79010183" w14:textId="4C37B546" w:rsidR="00692F19" w:rsidRDefault="00B9316C" w:rsidP="00B83501">
      <w:pPr>
        <w:pStyle w:val="BodyText"/>
        <w:ind w:left="140" w:right="1438"/>
        <w:jc w:val="both"/>
        <w:rPr>
          <w:bCs/>
        </w:rPr>
      </w:pPr>
      <w:r w:rsidRPr="00A83D9E">
        <w:rPr>
          <w:bCs/>
        </w:rPr>
        <w:t xml:space="preserve">Research by </w:t>
      </w:r>
      <w:r w:rsidRPr="00A83D9E">
        <w:t>G. Livingston, et al (2020)</w:t>
      </w:r>
      <w:r w:rsidR="00FC6050" w:rsidRPr="00A83D9E">
        <w:rPr>
          <w:vertAlign w:val="superscript"/>
        </w:rPr>
        <w:t>16</w:t>
      </w:r>
      <w:r w:rsidRPr="00A83D9E">
        <w:t xml:space="preserve"> </w:t>
      </w:r>
      <w:r w:rsidR="00FC6050" w:rsidRPr="00A83D9E">
        <w:t xml:space="preserve">identified </w:t>
      </w:r>
      <w:r w:rsidR="007B15BA" w:rsidRPr="00A83D9E">
        <w:t>12</w:t>
      </w:r>
      <w:r w:rsidR="002B4A73" w:rsidRPr="00A83D9E">
        <w:rPr>
          <w:bCs/>
        </w:rPr>
        <w:t xml:space="preserve"> risk factors </w:t>
      </w:r>
      <w:r w:rsidR="007B15BA" w:rsidRPr="00A83D9E">
        <w:rPr>
          <w:bCs/>
        </w:rPr>
        <w:t xml:space="preserve">which </w:t>
      </w:r>
      <w:r w:rsidR="002B4A73" w:rsidRPr="00A83D9E">
        <w:rPr>
          <w:bCs/>
        </w:rPr>
        <w:t>account for a</w:t>
      </w:r>
      <w:r w:rsidR="007B15BA" w:rsidRPr="00A83D9E">
        <w:rPr>
          <w:bCs/>
        </w:rPr>
        <w:t>round</w:t>
      </w:r>
      <w:r w:rsidR="002B4A73" w:rsidRPr="00A83D9E">
        <w:rPr>
          <w:bCs/>
        </w:rPr>
        <w:t xml:space="preserve"> 40% of dementias </w:t>
      </w:r>
      <w:r w:rsidR="009747A0" w:rsidRPr="00A83D9E">
        <w:rPr>
          <w:bCs/>
        </w:rPr>
        <w:t xml:space="preserve">cases </w:t>
      </w:r>
      <w:r w:rsidR="002B4A73" w:rsidRPr="00A83D9E">
        <w:rPr>
          <w:bCs/>
        </w:rPr>
        <w:t>globally</w:t>
      </w:r>
      <w:r w:rsidR="009747A0" w:rsidRPr="00A83D9E">
        <w:rPr>
          <w:bCs/>
        </w:rPr>
        <w:t>.</w:t>
      </w:r>
      <w:r w:rsidR="002B4A73" w:rsidRPr="00A83D9E">
        <w:rPr>
          <w:bCs/>
        </w:rPr>
        <w:t xml:space="preserve"> </w:t>
      </w:r>
      <w:r w:rsidR="009747A0" w:rsidRPr="00A83D9E">
        <w:rPr>
          <w:bCs/>
        </w:rPr>
        <w:t xml:space="preserve">This </w:t>
      </w:r>
      <w:r w:rsidR="00E86CC7" w:rsidRPr="00A83D9E">
        <w:rPr>
          <w:bCs/>
        </w:rPr>
        <w:t xml:space="preserve">shows that </w:t>
      </w:r>
      <w:r w:rsidR="002B4A73" w:rsidRPr="00A83D9E">
        <w:rPr>
          <w:bCs/>
        </w:rPr>
        <w:t xml:space="preserve">40% of </w:t>
      </w:r>
      <w:r w:rsidR="00E86CC7" w:rsidRPr="00A83D9E">
        <w:rPr>
          <w:bCs/>
        </w:rPr>
        <w:t xml:space="preserve">Dementia </w:t>
      </w:r>
      <w:r w:rsidR="002B4A73" w:rsidRPr="00A83D9E">
        <w:rPr>
          <w:bCs/>
        </w:rPr>
        <w:t xml:space="preserve">cases could be prevented </w:t>
      </w:r>
      <w:r w:rsidR="005F2D9A" w:rsidRPr="00A83D9E">
        <w:rPr>
          <w:bCs/>
        </w:rPr>
        <w:t xml:space="preserve">if action was taken to address </w:t>
      </w:r>
      <w:r w:rsidR="00FB136B" w:rsidRPr="00A83D9E">
        <w:rPr>
          <w:bCs/>
        </w:rPr>
        <w:t xml:space="preserve">the </w:t>
      </w:r>
      <w:r w:rsidR="002B4A73" w:rsidRPr="00A83D9E">
        <w:rPr>
          <w:bCs/>
        </w:rPr>
        <w:t xml:space="preserve">risk factors </w:t>
      </w:r>
      <w:r w:rsidR="00FB136B" w:rsidRPr="00A83D9E">
        <w:rPr>
          <w:bCs/>
        </w:rPr>
        <w:t xml:space="preserve">impact on </w:t>
      </w:r>
      <w:r w:rsidR="00B22F4B" w:rsidRPr="00A83D9E">
        <w:rPr>
          <w:bCs/>
        </w:rPr>
        <w:t>people’s</w:t>
      </w:r>
      <w:r w:rsidR="00692F19" w:rsidRPr="00A83D9E">
        <w:rPr>
          <w:bCs/>
        </w:rPr>
        <w:t xml:space="preserve"> lives</w:t>
      </w:r>
      <w:r w:rsidR="002B4A73" w:rsidRPr="00A83D9E">
        <w:rPr>
          <w:bCs/>
        </w:rPr>
        <w:t xml:space="preserve">. </w:t>
      </w:r>
    </w:p>
    <w:p w14:paraId="3BA3FB2B" w14:textId="77777777" w:rsidR="00E52F47" w:rsidRPr="00A83D9E" w:rsidRDefault="00E52F47" w:rsidP="00ED4350">
      <w:pPr>
        <w:pStyle w:val="BodyText"/>
        <w:ind w:left="140" w:right="1438"/>
        <w:jc w:val="both"/>
        <w:rPr>
          <w:bCs/>
        </w:rPr>
      </w:pPr>
    </w:p>
    <w:p w14:paraId="442BA8A1" w14:textId="144739FD" w:rsidR="00E1620F" w:rsidRPr="00A83D9E" w:rsidRDefault="00CD5DAC" w:rsidP="00ED4350">
      <w:pPr>
        <w:pStyle w:val="BodyText"/>
        <w:ind w:left="140" w:right="1438"/>
        <w:jc w:val="both"/>
        <w:rPr>
          <w:bCs/>
        </w:rPr>
      </w:pPr>
      <w:r w:rsidRPr="00A83D9E">
        <w:rPr>
          <w:bCs/>
        </w:rPr>
        <w:t>Poor air quality</w:t>
      </w:r>
      <w:r w:rsidR="002B4A73" w:rsidRPr="00A83D9E">
        <w:rPr>
          <w:bCs/>
        </w:rPr>
        <w:t xml:space="preserve"> can contribute to </w:t>
      </w:r>
      <w:r w:rsidR="000B5C67" w:rsidRPr="00A83D9E">
        <w:rPr>
          <w:bCs/>
        </w:rPr>
        <w:t xml:space="preserve">a </w:t>
      </w:r>
      <w:r w:rsidR="002B4A73" w:rsidRPr="00A83D9E">
        <w:rPr>
          <w:bCs/>
        </w:rPr>
        <w:t xml:space="preserve">decline in mental </w:t>
      </w:r>
      <w:r w:rsidRPr="00A83D9E">
        <w:rPr>
          <w:bCs/>
        </w:rPr>
        <w:t xml:space="preserve">capacity </w:t>
      </w:r>
      <w:r w:rsidR="002B4A73" w:rsidRPr="00A83D9E">
        <w:rPr>
          <w:bCs/>
        </w:rPr>
        <w:t xml:space="preserve">and dementia in older people. </w:t>
      </w:r>
      <w:r w:rsidR="00251AC4" w:rsidRPr="00A83D9E">
        <w:rPr>
          <w:bCs/>
        </w:rPr>
        <w:t>H</w:t>
      </w:r>
      <w:r w:rsidR="002B4A73" w:rsidRPr="00A83D9E">
        <w:rPr>
          <w:bCs/>
        </w:rPr>
        <w:t>earing loss,</w:t>
      </w:r>
      <w:r w:rsidR="00251AC4" w:rsidRPr="00A83D9E">
        <w:rPr>
          <w:bCs/>
        </w:rPr>
        <w:t xml:space="preserve"> social inclusio</w:t>
      </w:r>
      <w:r w:rsidR="00277EFB" w:rsidRPr="00A83D9E">
        <w:rPr>
          <w:bCs/>
        </w:rPr>
        <w:t>n,</w:t>
      </w:r>
      <w:r w:rsidR="002B4A73" w:rsidRPr="00A83D9E">
        <w:rPr>
          <w:bCs/>
        </w:rPr>
        <w:t xml:space="preserve"> smoking and a sedentary lifestyle are </w:t>
      </w:r>
      <w:r w:rsidR="00277EFB" w:rsidRPr="00A83D9E">
        <w:rPr>
          <w:bCs/>
        </w:rPr>
        <w:t>r</w:t>
      </w:r>
      <w:r w:rsidR="002B4A73" w:rsidRPr="00A83D9E">
        <w:rPr>
          <w:bCs/>
        </w:rPr>
        <w:t xml:space="preserve">isk factors. </w:t>
      </w:r>
      <w:r w:rsidR="00B6559A" w:rsidRPr="00A83D9E">
        <w:rPr>
          <w:bCs/>
        </w:rPr>
        <w:t xml:space="preserve">Conditions, such as hypertension, obesity, diabetes and depression also contribute to dementia. </w:t>
      </w:r>
    </w:p>
    <w:p w14:paraId="349B5949" w14:textId="77777777" w:rsidR="00CD3458" w:rsidRPr="00A83D9E" w:rsidRDefault="00CD3458" w:rsidP="00B83501">
      <w:pPr>
        <w:pStyle w:val="BodyText"/>
        <w:ind w:left="142" w:right="1440"/>
        <w:jc w:val="both"/>
        <w:rPr>
          <w:bCs/>
        </w:rPr>
      </w:pPr>
    </w:p>
    <w:p w14:paraId="6F2FCD2D" w14:textId="65FFFE70" w:rsidR="005733FF" w:rsidRPr="00A83D9E" w:rsidRDefault="002B4A73" w:rsidP="00B83501">
      <w:pPr>
        <w:pStyle w:val="BodyText"/>
        <w:ind w:left="142" w:right="1440"/>
        <w:jc w:val="both"/>
        <w:rPr>
          <w:bCs/>
        </w:rPr>
      </w:pPr>
      <w:r w:rsidRPr="00A83D9E">
        <w:rPr>
          <w:bCs/>
        </w:rPr>
        <w:t>The twelve risk factors are listed below</w:t>
      </w:r>
      <w:r w:rsidR="002409C6" w:rsidRPr="00A83D9E">
        <w:rPr>
          <w:bCs/>
        </w:rPr>
        <w:t>.  M</w:t>
      </w:r>
      <w:r w:rsidRPr="00A83D9E">
        <w:rPr>
          <w:bCs/>
        </w:rPr>
        <w:t xml:space="preserve">ore than one risk factor </w:t>
      </w:r>
      <w:r w:rsidR="002409C6" w:rsidRPr="00A83D9E">
        <w:rPr>
          <w:bCs/>
        </w:rPr>
        <w:t xml:space="preserve">is </w:t>
      </w:r>
      <w:r w:rsidR="00FB2A65" w:rsidRPr="00A83D9E">
        <w:rPr>
          <w:bCs/>
        </w:rPr>
        <w:t>common,</w:t>
      </w:r>
      <w:r w:rsidR="002409C6" w:rsidRPr="00A83D9E">
        <w:rPr>
          <w:bCs/>
        </w:rPr>
        <w:t xml:space="preserve"> </w:t>
      </w:r>
      <w:r w:rsidRPr="00A83D9E">
        <w:rPr>
          <w:bCs/>
        </w:rPr>
        <w:t xml:space="preserve">and some </w:t>
      </w:r>
      <w:r w:rsidR="004121D9" w:rsidRPr="00A83D9E">
        <w:rPr>
          <w:bCs/>
        </w:rPr>
        <w:t xml:space="preserve">factors are linked </w:t>
      </w:r>
      <w:r w:rsidRPr="00A83D9E">
        <w:rPr>
          <w:bCs/>
        </w:rPr>
        <w:t xml:space="preserve">such as depression and social isolation. </w:t>
      </w:r>
      <w:r w:rsidR="00E67415" w:rsidRPr="00A83D9E">
        <w:rPr>
          <w:bCs/>
        </w:rPr>
        <w:t xml:space="preserve"> </w:t>
      </w:r>
    </w:p>
    <w:p w14:paraId="26E565E3" w14:textId="77777777" w:rsidR="00BF5928" w:rsidRPr="00A83D9E" w:rsidRDefault="00BF5928" w:rsidP="00B83501">
      <w:pPr>
        <w:pStyle w:val="BodyText"/>
        <w:ind w:left="140" w:right="1438"/>
        <w:jc w:val="both"/>
        <w:rPr>
          <w:bCs/>
        </w:rPr>
      </w:pPr>
    </w:p>
    <w:p w14:paraId="683D935E" w14:textId="25EAAC95" w:rsidR="00FB2A65" w:rsidRPr="00A83D9E" w:rsidRDefault="00A4750A" w:rsidP="00B83501">
      <w:pPr>
        <w:pStyle w:val="BodyText"/>
        <w:numPr>
          <w:ilvl w:val="0"/>
          <w:numId w:val="33"/>
        </w:numPr>
        <w:ind w:left="856" w:right="1440" w:hanging="357"/>
        <w:jc w:val="both"/>
      </w:pPr>
      <w:r w:rsidRPr="00A83D9E">
        <w:t>Physical Inactivity</w:t>
      </w:r>
    </w:p>
    <w:p w14:paraId="08C4EDB4" w14:textId="45092A35" w:rsidR="00A4750A" w:rsidRPr="00A83D9E" w:rsidRDefault="007E3AFC" w:rsidP="00B83501">
      <w:pPr>
        <w:pStyle w:val="BodyText"/>
        <w:numPr>
          <w:ilvl w:val="0"/>
          <w:numId w:val="33"/>
        </w:numPr>
        <w:ind w:left="856" w:right="1440" w:hanging="357"/>
        <w:jc w:val="both"/>
      </w:pPr>
      <w:r w:rsidRPr="00A83D9E">
        <w:t>Smoking</w:t>
      </w:r>
    </w:p>
    <w:p w14:paraId="5FF8B4F9" w14:textId="7394D710" w:rsidR="00BE535E" w:rsidRPr="00A83D9E" w:rsidRDefault="00BE535E" w:rsidP="00B83501">
      <w:pPr>
        <w:pStyle w:val="BodyText"/>
        <w:numPr>
          <w:ilvl w:val="0"/>
          <w:numId w:val="33"/>
        </w:numPr>
        <w:ind w:left="856" w:right="1440" w:hanging="357"/>
        <w:jc w:val="both"/>
      </w:pPr>
      <w:r w:rsidRPr="00A83D9E">
        <w:t>Excessive alcohol consumption</w:t>
      </w:r>
    </w:p>
    <w:p w14:paraId="40DAB0CF" w14:textId="519CC0BD" w:rsidR="00BE535E" w:rsidRPr="00A83D9E" w:rsidRDefault="002B7A18" w:rsidP="00B83501">
      <w:pPr>
        <w:pStyle w:val="BodyText"/>
        <w:numPr>
          <w:ilvl w:val="0"/>
          <w:numId w:val="33"/>
        </w:numPr>
        <w:ind w:left="856" w:right="1440" w:hanging="357"/>
        <w:jc w:val="both"/>
      </w:pPr>
      <w:r w:rsidRPr="00A83D9E">
        <w:t>Air pollution</w:t>
      </w:r>
    </w:p>
    <w:p w14:paraId="24783047" w14:textId="17C84B79" w:rsidR="002B7A18" w:rsidRPr="00A83D9E" w:rsidRDefault="002B7A18" w:rsidP="00B83501">
      <w:pPr>
        <w:pStyle w:val="BodyText"/>
        <w:numPr>
          <w:ilvl w:val="0"/>
          <w:numId w:val="33"/>
        </w:numPr>
        <w:ind w:left="856" w:right="1440" w:hanging="357"/>
        <w:jc w:val="both"/>
      </w:pPr>
      <w:r w:rsidRPr="00A83D9E">
        <w:t>Head injury</w:t>
      </w:r>
    </w:p>
    <w:p w14:paraId="09E13461" w14:textId="0F85E7F7" w:rsidR="002B7A18" w:rsidRPr="00A83D9E" w:rsidRDefault="002B7A18" w:rsidP="00B83501">
      <w:pPr>
        <w:pStyle w:val="BodyText"/>
        <w:numPr>
          <w:ilvl w:val="0"/>
          <w:numId w:val="33"/>
        </w:numPr>
        <w:ind w:left="856" w:right="1440" w:hanging="357"/>
        <w:jc w:val="both"/>
      </w:pPr>
      <w:r w:rsidRPr="00A83D9E">
        <w:t>Infrequent social interaction</w:t>
      </w:r>
    </w:p>
    <w:p w14:paraId="42AAF509" w14:textId="5692FE37" w:rsidR="002B7A18" w:rsidRPr="00A83D9E" w:rsidRDefault="009A09F2" w:rsidP="00B83501">
      <w:pPr>
        <w:pStyle w:val="BodyText"/>
        <w:numPr>
          <w:ilvl w:val="0"/>
          <w:numId w:val="33"/>
        </w:numPr>
        <w:ind w:left="856" w:right="1440" w:hanging="357"/>
        <w:jc w:val="both"/>
      </w:pPr>
      <w:r w:rsidRPr="00A83D9E">
        <w:t>Less education</w:t>
      </w:r>
    </w:p>
    <w:p w14:paraId="592CB0A7" w14:textId="38957720" w:rsidR="00633757" w:rsidRPr="00A83D9E" w:rsidRDefault="00633757" w:rsidP="00B83501">
      <w:pPr>
        <w:pStyle w:val="BodyText"/>
        <w:numPr>
          <w:ilvl w:val="0"/>
          <w:numId w:val="33"/>
        </w:numPr>
        <w:ind w:left="856" w:right="1440" w:hanging="357"/>
        <w:jc w:val="both"/>
      </w:pPr>
      <w:r w:rsidRPr="00A83D9E">
        <w:t>Obesity</w:t>
      </w:r>
    </w:p>
    <w:p w14:paraId="1D0A549D" w14:textId="6C508217" w:rsidR="00633757" w:rsidRPr="00A83D9E" w:rsidRDefault="00633757" w:rsidP="00B83501">
      <w:pPr>
        <w:pStyle w:val="BodyText"/>
        <w:numPr>
          <w:ilvl w:val="0"/>
          <w:numId w:val="33"/>
        </w:numPr>
        <w:ind w:left="856" w:right="1440" w:hanging="357"/>
        <w:jc w:val="both"/>
      </w:pPr>
      <w:r w:rsidRPr="00A83D9E">
        <w:t>Hypertension</w:t>
      </w:r>
    </w:p>
    <w:p w14:paraId="5641096C" w14:textId="1033105F" w:rsidR="00633757" w:rsidRPr="00A83D9E" w:rsidRDefault="00633757" w:rsidP="00B83501">
      <w:pPr>
        <w:pStyle w:val="BodyText"/>
        <w:numPr>
          <w:ilvl w:val="0"/>
          <w:numId w:val="33"/>
        </w:numPr>
        <w:ind w:left="856" w:right="1440" w:hanging="357"/>
        <w:jc w:val="both"/>
      </w:pPr>
      <w:r w:rsidRPr="00A83D9E">
        <w:t>Diabetes</w:t>
      </w:r>
    </w:p>
    <w:p w14:paraId="5156DC4F" w14:textId="1DF35FD4" w:rsidR="00633757" w:rsidRPr="00A83D9E" w:rsidRDefault="00633757" w:rsidP="00B83501">
      <w:pPr>
        <w:pStyle w:val="BodyText"/>
        <w:numPr>
          <w:ilvl w:val="0"/>
          <w:numId w:val="33"/>
        </w:numPr>
        <w:ind w:left="856" w:right="1440" w:hanging="357"/>
        <w:jc w:val="both"/>
      </w:pPr>
      <w:r w:rsidRPr="00A83D9E">
        <w:t>Depression</w:t>
      </w:r>
    </w:p>
    <w:p w14:paraId="26EB1B77" w14:textId="03886097" w:rsidR="00633757" w:rsidRPr="00A83D9E" w:rsidRDefault="00633757" w:rsidP="00B83501">
      <w:pPr>
        <w:pStyle w:val="BodyText"/>
        <w:numPr>
          <w:ilvl w:val="0"/>
          <w:numId w:val="33"/>
        </w:numPr>
        <w:ind w:left="856" w:right="1440" w:hanging="357"/>
        <w:jc w:val="both"/>
      </w:pPr>
      <w:r w:rsidRPr="00A83D9E">
        <w:t>Hearing impairment</w:t>
      </w:r>
    </w:p>
    <w:p w14:paraId="5C509A1F" w14:textId="77777777" w:rsidR="00935FD8" w:rsidRPr="00A83D9E" w:rsidRDefault="00935FD8" w:rsidP="00B83501">
      <w:pPr>
        <w:pStyle w:val="BodyText"/>
        <w:ind w:right="1440"/>
        <w:jc w:val="both"/>
      </w:pPr>
    </w:p>
    <w:p w14:paraId="50A40C18" w14:textId="532A438E" w:rsidR="006B277A" w:rsidRPr="00A83D9E" w:rsidRDefault="00935FD8" w:rsidP="00B83501">
      <w:pPr>
        <w:pStyle w:val="BodyText"/>
        <w:ind w:right="1440"/>
        <w:jc w:val="both"/>
      </w:pPr>
      <w:r w:rsidRPr="00A83D9E">
        <w:t xml:space="preserve">Two other </w:t>
      </w:r>
      <w:r w:rsidR="008924C7" w:rsidRPr="00A83D9E">
        <w:t xml:space="preserve">risk factors were </w:t>
      </w:r>
      <w:r w:rsidR="00546F1A" w:rsidRPr="00A83D9E">
        <w:t xml:space="preserve">later </w:t>
      </w:r>
      <w:r w:rsidR="008924C7" w:rsidRPr="00A83D9E">
        <w:t xml:space="preserve">added to </w:t>
      </w:r>
      <w:r w:rsidR="00546F1A" w:rsidRPr="00A83D9E">
        <w:t>the lancet report</w:t>
      </w:r>
      <w:r w:rsidR="006B277A" w:rsidRPr="00A83D9E">
        <w:rPr>
          <w:vertAlign w:val="superscript"/>
        </w:rPr>
        <w:t>18</w:t>
      </w:r>
      <w:r w:rsidR="00546F1A" w:rsidRPr="00A83D9E">
        <w:t xml:space="preserve">, </w:t>
      </w:r>
      <w:r w:rsidR="008924C7" w:rsidRPr="00A83D9E">
        <w:t>these</w:t>
      </w:r>
      <w:r w:rsidR="00546F1A" w:rsidRPr="00A83D9E">
        <w:t xml:space="preserve"> are</w:t>
      </w:r>
      <w:r w:rsidR="00754A64" w:rsidRPr="00A83D9E">
        <w:t>:</w:t>
      </w:r>
      <w:r w:rsidR="00546F1A" w:rsidRPr="00A83D9E">
        <w:t xml:space="preserve"> </w:t>
      </w:r>
    </w:p>
    <w:p w14:paraId="6C0D16C8" w14:textId="77777777" w:rsidR="006B277A" w:rsidRPr="00A83D9E" w:rsidRDefault="006B277A" w:rsidP="00B83501">
      <w:pPr>
        <w:pStyle w:val="BodyText"/>
        <w:numPr>
          <w:ilvl w:val="0"/>
          <w:numId w:val="34"/>
        </w:numPr>
        <w:ind w:right="1440"/>
        <w:jc w:val="both"/>
      </w:pPr>
      <w:r w:rsidRPr="00A83D9E">
        <w:t>H</w:t>
      </w:r>
      <w:r w:rsidR="00AD3B1B" w:rsidRPr="00A83D9E">
        <w:t xml:space="preserve">igh LDL cholesterol </w:t>
      </w:r>
    </w:p>
    <w:p w14:paraId="6EF2A514" w14:textId="7316F7B8" w:rsidR="00935FD8" w:rsidRPr="00A83D9E" w:rsidRDefault="006B277A" w:rsidP="00B83501">
      <w:pPr>
        <w:pStyle w:val="BodyText"/>
        <w:numPr>
          <w:ilvl w:val="0"/>
          <w:numId w:val="34"/>
        </w:numPr>
        <w:ind w:right="1440"/>
        <w:jc w:val="both"/>
      </w:pPr>
      <w:r w:rsidRPr="00A83D9E">
        <w:lastRenderedPageBreak/>
        <w:t>U</w:t>
      </w:r>
      <w:r w:rsidR="00AD3B1B" w:rsidRPr="00A83D9E">
        <w:t>ntreated vision loss</w:t>
      </w:r>
      <w:r w:rsidR="0062201F" w:rsidRPr="00A83D9E">
        <w:t>.</w:t>
      </w:r>
      <w:r w:rsidR="008924C7" w:rsidRPr="00A83D9E">
        <w:t xml:space="preserve"> </w:t>
      </w:r>
    </w:p>
    <w:p w14:paraId="2E9A2E8E" w14:textId="77777777" w:rsidR="00246038" w:rsidRDefault="00246038" w:rsidP="00B83501">
      <w:pPr>
        <w:pStyle w:val="Heading1"/>
        <w:ind w:left="0"/>
        <w:rPr>
          <w:b w:val="0"/>
          <w:bCs w:val="0"/>
          <w:sz w:val="24"/>
          <w:szCs w:val="24"/>
        </w:rPr>
      </w:pPr>
    </w:p>
    <w:p w14:paraId="6471245C" w14:textId="77777777" w:rsidR="00246038" w:rsidRDefault="00246038" w:rsidP="00B83501">
      <w:pPr>
        <w:pStyle w:val="Heading1"/>
        <w:ind w:left="0"/>
        <w:rPr>
          <w:b w:val="0"/>
          <w:bCs w:val="0"/>
          <w:sz w:val="24"/>
          <w:szCs w:val="24"/>
        </w:rPr>
      </w:pPr>
    </w:p>
    <w:p w14:paraId="0D1B63F1" w14:textId="3F54C3DE" w:rsidR="00D77941" w:rsidRDefault="00E52F47" w:rsidP="00B83501">
      <w:pPr>
        <w:pStyle w:val="Heading1"/>
        <w:ind w:left="0"/>
        <w:rPr>
          <w:sz w:val="24"/>
          <w:szCs w:val="24"/>
          <w:u w:val="single"/>
        </w:rPr>
      </w:pPr>
      <w:bookmarkStart w:id="9" w:name="_Toc236218948"/>
      <w:r w:rsidRPr="00E52F47">
        <w:rPr>
          <w:sz w:val="24"/>
          <w:szCs w:val="24"/>
          <w:u w:val="single"/>
        </w:rPr>
        <w:t>5.0</w:t>
      </w:r>
      <w:r w:rsidRPr="00E52F47">
        <w:rPr>
          <w:sz w:val="24"/>
          <w:szCs w:val="24"/>
          <w:u w:val="single"/>
        </w:rPr>
        <w:tab/>
        <w:t>NATIONAL POLICY DRIVERS</w:t>
      </w:r>
      <w:bookmarkEnd w:id="9"/>
    </w:p>
    <w:p w14:paraId="5B2D2EF9" w14:textId="77777777" w:rsidR="00E52F47" w:rsidRPr="007E0B5C" w:rsidRDefault="00E52F47" w:rsidP="00B83501">
      <w:pPr>
        <w:pStyle w:val="Heading1"/>
        <w:ind w:left="0"/>
        <w:rPr>
          <w:sz w:val="24"/>
          <w:szCs w:val="24"/>
          <w:u w:val="single"/>
        </w:rPr>
      </w:pPr>
    </w:p>
    <w:p w14:paraId="4E30670E" w14:textId="1430A2B7" w:rsidR="006B1F15" w:rsidRDefault="006B1F15" w:rsidP="007E0B5C">
      <w:pPr>
        <w:pStyle w:val="BodyText"/>
        <w:ind w:left="142" w:right="1435"/>
        <w:jc w:val="both"/>
      </w:pPr>
      <w:r>
        <w:t xml:space="preserve">The UK Government set an objective for England to be a world leader in fighting dementia and committed to improving diagnosis, care and support, and research. </w:t>
      </w:r>
    </w:p>
    <w:p w14:paraId="54DBECBA" w14:textId="49C930E9" w:rsidR="002B5C1D" w:rsidRDefault="006B1F15" w:rsidP="007E0B5C">
      <w:pPr>
        <w:pStyle w:val="BodyText"/>
        <w:ind w:left="142" w:right="1435"/>
        <w:jc w:val="both"/>
      </w:pPr>
      <w:r>
        <w:t xml:space="preserve">The Challenge on Dementia 2020, published in February 2015, set out what the UK Government wanted to achieve by 2020 </w:t>
      </w:r>
      <w:r w:rsidR="007801EA">
        <w:t>for</w:t>
      </w:r>
      <w:r>
        <w:t xml:space="preserve"> England to be:</w:t>
      </w:r>
    </w:p>
    <w:p w14:paraId="2BACD7B1" w14:textId="77777777" w:rsidR="002B5C1D" w:rsidRDefault="002B5C1D" w:rsidP="00B83501">
      <w:pPr>
        <w:pStyle w:val="BodyText"/>
        <w:ind w:left="567" w:right="1435"/>
        <w:jc w:val="both"/>
      </w:pPr>
    </w:p>
    <w:p w14:paraId="32659F97" w14:textId="532221D5" w:rsidR="006B1F15" w:rsidRPr="006B1F15" w:rsidRDefault="006B1F15" w:rsidP="00B83501">
      <w:pPr>
        <w:pStyle w:val="BodyText"/>
        <w:numPr>
          <w:ilvl w:val="0"/>
          <w:numId w:val="36"/>
        </w:numPr>
        <w:ind w:left="924" w:right="1435" w:hanging="357"/>
        <w:jc w:val="both"/>
        <w:rPr>
          <w:bCs/>
        </w:rPr>
      </w:pPr>
      <w:r>
        <w:t xml:space="preserve">the best country in the world for dementia care and support and for people with dementia, their carers, and families to live </w:t>
      </w:r>
    </w:p>
    <w:p w14:paraId="531476E5" w14:textId="77777777" w:rsidR="006B1F15" w:rsidRPr="006B1F15" w:rsidRDefault="006B1F15" w:rsidP="00B83501">
      <w:pPr>
        <w:pStyle w:val="BodyText"/>
        <w:numPr>
          <w:ilvl w:val="0"/>
          <w:numId w:val="36"/>
        </w:numPr>
        <w:ind w:left="924" w:right="1435" w:hanging="357"/>
        <w:jc w:val="both"/>
        <w:rPr>
          <w:bCs/>
        </w:rPr>
      </w:pPr>
      <w:r>
        <w:t xml:space="preserve">the best place in the world to undertake research into dementia and other neurodegenerative diseases Some of the key objectives of the Challenge were: </w:t>
      </w:r>
    </w:p>
    <w:p w14:paraId="27B65D5E" w14:textId="77777777" w:rsidR="006B1F15" w:rsidRPr="006B1F15" w:rsidRDefault="006B1F15" w:rsidP="00B83501">
      <w:pPr>
        <w:pStyle w:val="BodyText"/>
        <w:numPr>
          <w:ilvl w:val="0"/>
          <w:numId w:val="36"/>
        </w:numPr>
        <w:ind w:left="924" w:right="1435" w:hanging="357"/>
        <w:jc w:val="both"/>
        <w:rPr>
          <w:bCs/>
        </w:rPr>
      </w:pPr>
      <w:r>
        <w:t xml:space="preserve">Equal access to diagnosis for everyone </w:t>
      </w:r>
    </w:p>
    <w:p w14:paraId="7C92A41D" w14:textId="77777777" w:rsidR="00915B90" w:rsidRPr="00915B90" w:rsidRDefault="006B1F15" w:rsidP="00B83501">
      <w:pPr>
        <w:pStyle w:val="BodyText"/>
        <w:numPr>
          <w:ilvl w:val="0"/>
          <w:numId w:val="36"/>
        </w:numPr>
        <w:ind w:left="924" w:right="1435" w:hanging="357"/>
        <w:jc w:val="both"/>
        <w:rPr>
          <w:bCs/>
        </w:rPr>
      </w:pPr>
      <w:r>
        <w:t xml:space="preserve">GPs playing a lead role in ensuring coordination and continuity of care for people with dementia </w:t>
      </w:r>
    </w:p>
    <w:p w14:paraId="39B018DF" w14:textId="77777777" w:rsidR="00915B90" w:rsidRPr="00915B90" w:rsidRDefault="006B1F15" w:rsidP="00B83501">
      <w:pPr>
        <w:pStyle w:val="BodyText"/>
        <w:numPr>
          <w:ilvl w:val="0"/>
          <w:numId w:val="36"/>
        </w:numPr>
        <w:ind w:left="924" w:right="1435" w:hanging="357"/>
        <w:jc w:val="both"/>
        <w:rPr>
          <w:bCs/>
        </w:rPr>
      </w:pPr>
      <w:r>
        <w:t xml:space="preserve">Every person diagnosed with dementia having meaningful care following their diagnosis </w:t>
      </w:r>
    </w:p>
    <w:p w14:paraId="0A2F557D" w14:textId="77777777" w:rsidR="00915B90" w:rsidRPr="00E52F47" w:rsidRDefault="006B1F15" w:rsidP="00B83501">
      <w:pPr>
        <w:pStyle w:val="BodyText"/>
        <w:numPr>
          <w:ilvl w:val="0"/>
          <w:numId w:val="36"/>
        </w:numPr>
        <w:ind w:left="924" w:right="1435" w:hanging="357"/>
        <w:jc w:val="both"/>
        <w:rPr>
          <w:bCs/>
        </w:rPr>
      </w:pPr>
      <w:r>
        <w:t xml:space="preserve">All NHS staff having received training on dementia appropriate to their role. The Challenge on Dementia 2020 also contained the commitment to spend £300 million on dementia research over the five years to March 2020. </w:t>
      </w:r>
    </w:p>
    <w:p w14:paraId="4008A1D2" w14:textId="77777777" w:rsidR="00E52F47" w:rsidRPr="00915B90" w:rsidRDefault="00E52F47" w:rsidP="007E0B5C">
      <w:pPr>
        <w:pStyle w:val="BodyText"/>
        <w:ind w:left="924" w:right="1435"/>
        <w:jc w:val="both"/>
        <w:rPr>
          <w:bCs/>
        </w:rPr>
      </w:pPr>
    </w:p>
    <w:p w14:paraId="7C2065E6" w14:textId="5007A5EF" w:rsidR="00915B90" w:rsidRDefault="006B1F15" w:rsidP="00B83501">
      <w:pPr>
        <w:pStyle w:val="BodyText"/>
        <w:ind w:left="142" w:right="1435"/>
        <w:jc w:val="both"/>
      </w:pPr>
      <w:r>
        <w:t>This commitment was delivered a year early with £344 million spent on dementia research over the four years to 31 March 2019. The NHS Long Term Plan, published on 7 January 2019, commit</w:t>
      </w:r>
      <w:r w:rsidR="00B24C48">
        <w:t>ted</w:t>
      </w:r>
      <w:r>
        <w:t xml:space="preserve"> the NHS in England to continuing to improve the care provided to people with dementia and their carers. </w:t>
      </w:r>
    </w:p>
    <w:p w14:paraId="6FD212D8" w14:textId="77777777" w:rsidR="00E52F47" w:rsidRDefault="00E52F47" w:rsidP="007E0B5C">
      <w:pPr>
        <w:pStyle w:val="BodyText"/>
        <w:ind w:left="142" w:right="1435"/>
        <w:jc w:val="both"/>
      </w:pPr>
    </w:p>
    <w:p w14:paraId="337297F9" w14:textId="7C46676E" w:rsidR="008D3722" w:rsidRDefault="006B1F15" w:rsidP="00B83501">
      <w:pPr>
        <w:pStyle w:val="BodyText"/>
        <w:ind w:left="142" w:right="1435"/>
        <w:jc w:val="both"/>
      </w:pPr>
      <w:r>
        <w:t xml:space="preserve">The </w:t>
      </w:r>
      <w:r w:rsidR="00915B90">
        <w:t xml:space="preserve">previous </w:t>
      </w:r>
      <w:r>
        <w:t>Government said that it aim</w:t>
      </w:r>
      <w:r w:rsidR="00915B90">
        <w:t>ed</w:t>
      </w:r>
      <w:r>
        <w:t xml:space="preserve"> to bring forward proposals for a new strategy in 2021, </w:t>
      </w:r>
      <w:r w:rsidR="00915B90">
        <w:t>to</w:t>
      </w:r>
      <w:r>
        <w:t xml:space="preserve"> set out plans for dementia care, support, awareness, and research in England. Th</w:t>
      </w:r>
      <w:r w:rsidR="00A21CA3">
        <w:t>is was a</w:t>
      </w:r>
      <w:r w:rsidR="00C825B7">
        <w:t>s</w:t>
      </w:r>
      <w:r w:rsidR="00A21CA3">
        <w:t xml:space="preserve"> it</w:t>
      </w:r>
      <w:r>
        <w:t xml:space="preserve"> </w:t>
      </w:r>
      <w:r w:rsidR="002F297F">
        <w:t xml:space="preserve">simultaneously </w:t>
      </w:r>
      <w:r>
        <w:t>work</w:t>
      </w:r>
      <w:r w:rsidR="00A21CA3">
        <w:t>ed</w:t>
      </w:r>
      <w:r>
        <w:t xml:space="preserve"> on ways to boost further research on dementia including medical and care interventions. </w:t>
      </w:r>
    </w:p>
    <w:p w14:paraId="150B1A72" w14:textId="77777777" w:rsidR="00E52F47" w:rsidRDefault="00E52F47" w:rsidP="007E0B5C">
      <w:pPr>
        <w:pStyle w:val="BodyText"/>
        <w:ind w:left="142" w:right="1435"/>
        <w:jc w:val="both"/>
      </w:pPr>
    </w:p>
    <w:p w14:paraId="12944DBB" w14:textId="70658DF5" w:rsidR="008D3722" w:rsidRDefault="00213CF7" w:rsidP="007E0B5C">
      <w:pPr>
        <w:pStyle w:val="BodyText"/>
        <w:ind w:left="142" w:right="1435"/>
        <w:jc w:val="both"/>
      </w:pPr>
      <w:r>
        <w:t xml:space="preserve">The Conservative Party Manifesto 2019 pledged that finding a cure for dementia would be one of the Government’s biggest priorities. </w:t>
      </w:r>
      <w:r w:rsidR="00DE1B7A">
        <w:t>It was to</w:t>
      </w:r>
      <w:r>
        <w:t xml:space="preserve"> include doubling research funding into dementia and speeding up trials for new treatments. </w:t>
      </w:r>
      <w:r w:rsidR="001F063F">
        <w:t xml:space="preserve">In 2022 Conservative Minister for Health </w:t>
      </w:r>
      <w:r w:rsidR="004631A2">
        <w:t xml:space="preserve">&amp; Social Care </w:t>
      </w:r>
      <w:r w:rsidR="00FE420B">
        <w:t>Sajid Javid announced a 10</w:t>
      </w:r>
      <w:r w:rsidR="0038326F">
        <w:t>-</w:t>
      </w:r>
      <w:r w:rsidR="00FE420B">
        <w:t>year plan to tackle Dementia and boost funding into research</w:t>
      </w:r>
      <w:r w:rsidR="00DF08AB">
        <w:t xml:space="preserve"> to better understand neurodegenerative diseases.</w:t>
      </w:r>
      <w:r w:rsidR="0038326F">
        <w:t xml:space="preserve"> This plan was due to be published</w:t>
      </w:r>
      <w:r w:rsidR="00362AE0">
        <w:t xml:space="preserve"> in the Autumn of 2022 but never arrived.</w:t>
      </w:r>
    </w:p>
    <w:p w14:paraId="2BBDB3DF" w14:textId="1A71B0E8" w:rsidR="002C52D5" w:rsidRDefault="00362AE0" w:rsidP="00B83501">
      <w:pPr>
        <w:pStyle w:val="BodyText"/>
        <w:ind w:left="142" w:right="1435"/>
        <w:jc w:val="both"/>
      </w:pPr>
      <w:r>
        <w:t xml:space="preserve">There </w:t>
      </w:r>
      <w:r w:rsidR="00F10CC3">
        <w:t>were</w:t>
      </w:r>
      <w:r>
        <w:t xml:space="preserve"> however </w:t>
      </w:r>
      <w:r w:rsidR="00CC12EA">
        <w:t xml:space="preserve">changes brought </w:t>
      </w:r>
      <w:r w:rsidR="004C01F1">
        <w:t xml:space="preserve">via </w:t>
      </w:r>
      <w:r>
        <w:t xml:space="preserve">the </w:t>
      </w:r>
      <w:r w:rsidR="00184F24">
        <w:t>introduction of the Health &amp; Care Act 2022</w:t>
      </w:r>
      <w:r w:rsidR="00FD5409">
        <w:t xml:space="preserve"> which introduced significant reform</w:t>
      </w:r>
      <w:r w:rsidR="008266DE">
        <w:t>s via a legislative framework</w:t>
      </w:r>
      <w:r w:rsidR="00632F01">
        <w:t xml:space="preserve"> to support</w:t>
      </w:r>
      <w:r w:rsidR="00A101D1">
        <w:t xml:space="preserve"> collaboration and partnership work</w:t>
      </w:r>
      <w:r w:rsidR="008772F7">
        <w:t xml:space="preserve"> to integrate services for those</w:t>
      </w:r>
      <w:r w:rsidR="00FE0642">
        <w:t xml:space="preserve"> with dementia.</w:t>
      </w:r>
      <w:r w:rsidR="00A645F7">
        <w:t xml:space="preserve"> </w:t>
      </w:r>
      <w:r w:rsidR="00B37D00">
        <w:t>This included the</w:t>
      </w:r>
      <w:r w:rsidR="001362B5">
        <w:t xml:space="preserve"> formalisation of the Integrated Care System (ICS) made up of two parts</w:t>
      </w:r>
      <w:r w:rsidR="00B801FA">
        <w:t>:</w:t>
      </w:r>
      <w:r w:rsidR="00B801FA" w:rsidRPr="00B801FA">
        <w:t xml:space="preserve"> </w:t>
      </w:r>
      <w:r w:rsidR="007F69EC">
        <w:t xml:space="preserve">an Integrated Care Board </w:t>
      </w:r>
      <w:r w:rsidR="002C52D5">
        <w:t xml:space="preserve">(ICB) </w:t>
      </w:r>
      <w:r w:rsidR="007F69EC">
        <w:t>and an Integrated Care Partnership</w:t>
      </w:r>
      <w:r w:rsidR="002C52D5">
        <w:t xml:space="preserve"> (ICP). </w:t>
      </w:r>
    </w:p>
    <w:p w14:paraId="3E6BE6EE" w14:textId="77777777" w:rsidR="00E52F47" w:rsidRDefault="00E52F47" w:rsidP="00C544AC">
      <w:pPr>
        <w:pStyle w:val="BodyText"/>
        <w:ind w:left="142" w:right="1435"/>
        <w:jc w:val="both"/>
      </w:pPr>
    </w:p>
    <w:p w14:paraId="4801D129" w14:textId="25580183" w:rsidR="000D1E06" w:rsidRDefault="002C52D5" w:rsidP="00B83501">
      <w:pPr>
        <w:pStyle w:val="BodyText"/>
        <w:ind w:left="142" w:right="1435"/>
        <w:jc w:val="both"/>
      </w:pPr>
      <w:r>
        <w:t xml:space="preserve">The ICB </w:t>
      </w:r>
      <w:r w:rsidR="00A46CDB">
        <w:t xml:space="preserve">covers the commissioning and oversight of NHS services accountable to </w:t>
      </w:r>
      <w:r w:rsidR="003B60B6">
        <w:t xml:space="preserve">NHS England for spending and performance </w:t>
      </w:r>
      <w:r w:rsidR="0031069C">
        <w:t>and</w:t>
      </w:r>
      <w:r w:rsidR="003B60B6">
        <w:t xml:space="preserve"> The ICP that brings together</w:t>
      </w:r>
      <w:r w:rsidR="00042193">
        <w:t xml:space="preserve"> wider ranges of partners to a</w:t>
      </w:r>
      <w:r w:rsidR="000D1E06">
        <w:t xml:space="preserve"> </w:t>
      </w:r>
      <w:r w:rsidR="00042193">
        <w:t>plan and address the broader health, public health</w:t>
      </w:r>
      <w:r w:rsidR="000D1E06">
        <w:t xml:space="preserve"> and social care needs of the population.</w:t>
      </w:r>
      <w:r>
        <w:t xml:space="preserve"> </w:t>
      </w:r>
      <w:r w:rsidR="00FF0B3A">
        <w:t>The framework in practice is</w:t>
      </w:r>
      <w:r w:rsidR="00205EF1">
        <w:t xml:space="preserve"> dependent on how </w:t>
      </w:r>
      <w:r w:rsidR="00B078AB">
        <w:t xml:space="preserve">collaboration is </w:t>
      </w:r>
      <w:r w:rsidR="00F10CC3">
        <w:t>adopted in each local area.</w:t>
      </w:r>
    </w:p>
    <w:p w14:paraId="79791868" w14:textId="77777777" w:rsidR="006E74A4" w:rsidRDefault="006E74A4" w:rsidP="00C544AC">
      <w:pPr>
        <w:pStyle w:val="BodyText"/>
        <w:ind w:right="1435"/>
        <w:jc w:val="both"/>
      </w:pPr>
    </w:p>
    <w:p w14:paraId="2E59023C" w14:textId="77777777" w:rsidR="00AE1EA8" w:rsidRDefault="00AE1EA8" w:rsidP="00AE1EA8">
      <w:pPr>
        <w:pStyle w:val="BodyText"/>
        <w:ind w:right="1435"/>
        <w:jc w:val="both"/>
        <w:rPr>
          <w:b/>
          <w:bCs/>
        </w:rPr>
      </w:pPr>
      <w:r w:rsidRPr="00AE1EA8">
        <w:rPr>
          <w:b/>
          <w:bCs/>
        </w:rPr>
        <w:lastRenderedPageBreak/>
        <w:t>NHS 10 Year Health Plan and Dementia</w:t>
      </w:r>
    </w:p>
    <w:p w14:paraId="05598F81" w14:textId="77777777" w:rsidR="00AE1EA8" w:rsidRPr="00AE1EA8" w:rsidRDefault="00AE1EA8" w:rsidP="00AE1EA8">
      <w:pPr>
        <w:pStyle w:val="BodyText"/>
        <w:ind w:right="1435"/>
        <w:jc w:val="both"/>
        <w:rPr>
          <w:b/>
          <w:bCs/>
        </w:rPr>
      </w:pPr>
    </w:p>
    <w:p w14:paraId="27B77577" w14:textId="486A3053" w:rsidR="00AE1EA8" w:rsidRPr="00221544" w:rsidRDefault="00AE1EA8" w:rsidP="00AE1EA8">
      <w:pPr>
        <w:pStyle w:val="BodyText"/>
        <w:ind w:right="1435"/>
        <w:jc w:val="both"/>
      </w:pPr>
      <w:r w:rsidRPr="00221544">
        <w:t>The NHS 10 Year Health Plan, published in July 2025, sets out a long-term vision for transforming health services in England through three strategic shifts: moving care from hospitals into the community, increasing the use of digital technology, and placing greater emphasis on prevention and early intervention. Dementia is recognised as a significant challenge across all three areas and is identified as a priority within wider plans for improving care for older people and those living with frailty.</w:t>
      </w:r>
      <w:r w:rsidR="001247AC" w:rsidRPr="001247AC">
        <w:rPr>
          <w:vertAlign w:val="superscript"/>
        </w:rPr>
        <w:t>20</w:t>
      </w:r>
      <w:r w:rsidRPr="00221544">
        <w:t xml:space="preserve"> </w:t>
      </w:r>
      <w:r w:rsidR="000D3812" w:rsidRPr="000D3812">
        <w:rPr>
          <w:vertAlign w:val="superscript"/>
        </w:rPr>
        <w:t>21</w:t>
      </w:r>
    </w:p>
    <w:p w14:paraId="386B2A61" w14:textId="77777777" w:rsidR="00AE1EA8" w:rsidRPr="00221544" w:rsidRDefault="00AE1EA8" w:rsidP="00AE1EA8">
      <w:pPr>
        <w:pStyle w:val="BodyText"/>
        <w:ind w:right="1435"/>
        <w:jc w:val="both"/>
      </w:pPr>
    </w:p>
    <w:p w14:paraId="44221C83" w14:textId="464FC834" w:rsidR="00AE1EA8" w:rsidRPr="00221544" w:rsidRDefault="00AE1EA8" w:rsidP="00AE1EA8">
      <w:pPr>
        <w:pStyle w:val="BodyText"/>
        <w:ind w:right="1435"/>
        <w:jc w:val="both"/>
      </w:pPr>
      <w:r w:rsidRPr="00221544">
        <w:t xml:space="preserve">A key commitment within the Plan is the development of a Frailty and Dementia Modern Service Framework, which aims to improve consistency in dementia services, establish clearer standards for diagnosis and treatment, strengthen care pathways, and support more coordinated delivery of care across health and social care systems. The framework is intended to address variation in access to services and improve outcomes for people living with dementia and their </w:t>
      </w:r>
      <w:proofErr w:type="spellStart"/>
      <w:r w:rsidRPr="00221544">
        <w:t>carers</w:t>
      </w:r>
      <w:proofErr w:type="spellEnd"/>
      <w:r w:rsidRPr="00221544">
        <w:t>.</w:t>
      </w:r>
      <w:r w:rsidR="001247AC" w:rsidRPr="001247AC">
        <w:rPr>
          <w:vertAlign w:val="superscript"/>
        </w:rPr>
        <w:t xml:space="preserve"> 20</w:t>
      </w:r>
      <w:r w:rsidRPr="00221544">
        <w:t xml:space="preserve"> </w:t>
      </w:r>
      <w:r w:rsidR="000D3812" w:rsidRPr="000D3812">
        <w:rPr>
          <w:vertAlign w:val="superscript"/>
        </w:rPr>
        <w:t>21</w:t>
      </w:r>
    </w:p>
    <w:p w14:paraId="440EAB1F" w14:textId="77777777" w:rsidR="00AE1EA8" w:rsidRPr="00221544" w:rsidRDefault="00AE1EA8" w:rsidP="00AE1EA8">
      <w:pPr>
        <w:pStyle w:val="BodyText"/>
        <w:ind w:right="1435"/>
        <w:jc w:val="both"/>
      </w:pPr>
    </w:p>
    <w:p w14:paraId="6BACB5F6" w14:textId="53D104AD" w:rsidR="00AE1EA8" w:rsidRPr="00221544" w:rsidRDefault="00AE1EA8" w:rsidP="00AE1EA8">
      <w:pPr>
        <w:pStyle w:val="BodyText"/>
        <w:ind w:right="1435"/>
        <w:jc w:val="both"/>
      </w:pPr>
      <w:r w:rsidRPr="00221544">
        <w:t>The Plan also proposes expanded primary care capacity through increased GP training and targeted investment in more deprived communities. This is intended to support earlier identification and diagnosis of dementia and improve access to care. In addition, the introduction of Neighbourhood Health Services aims to provide more integrated and multidisciplinary support within local communities, enabling more care to be delivered closer to home.</w:t>
      </w:r>
      <w:r w:rsidR="001247AC" w:rsidRPr="001247AC">
        <w:rPr>
          <w:vertAlign w:val="superscript"/>
        </w:rPr>
        <w:t xml:space="preserve"> 20</w:t>
      </w:r>
      <w:r w:rsidRPr="00221544">
        <w:t xml:space="preserve"> </w:t>
      </w:r>
      <w:r w:rsidR="000D3812" w:rsidRPr="000D3812">
        <w:rPr>
          <w:vertAlign w:val="superscript"/>
        </w:rPr>
        <w:t>21</w:t>
      </w:r>
    </w:p>
    <w:p w14:paraId="5FD2ED99" w14:textId="77777777" w:rsidR="00AE1EA8" w:rsidRPr="00221544" w:rsidRDefault="00AE1EA8" w:rsidP="00AE1EA8">
      <w:pPr>
        <w:pStyle w:val="BodyText"/>
        <w:ind w:right="1435"/>
        <w:jc w:val="both"/>
      </w:pPr>
    </w:p>
    <w:p w14:paraId="5BCD9F8B" w14:textId="01C78F59" w:rsidR="00AE1EA8" w:rsidRPr="00221544" w:rsidRDefault="00AE1EA8" w:rsidP="00AE1EA8">
      <w:pPr>
        <w:pStyle w:val="BodyText"/>
        <w:ind w:right="1435"/>
        <w:jc w:val="both"/>
      </w:pPr>
      <w:r w:rsidRPr="00221544">
        <w:t xml:space="preserve">Digital transformation is another major component of the Plan. The NHS App is expected to become the primary digital access point for NHS services, allowing individuals to manage appointments, access health information and view care plans. The Plan also highlights the importance of enabling carers and family members to support people living with dementia through improved digital access to services. </w:t>
      </w:r>
    </w:p>
    <w:p w14:paraId="7A6E7707" w14:textId="09126F3C" w:rsidR="00AE1EA8" w:rsidRPr="00221544" w:rsidRDefault="00AE1EA8" w:rsidP="00AE1EA8">
      <w:pPr>
        <w:pStyle w:val="BodyText"/>
        <w:ind w:right="1435"/>
        <w:jc w:val="both"/>
      </w:pPr>
      <w:r w:rsidRPr="00221544">
        <w:t>The Plan places a strong emphasis on research, innovation and the adoption of new technologies. Commitments include continued support for the Dame Barbara Windsor Dementia Goals Programme, increased opportunities for participation in research, and measures to accelerate the introduction of new diagnostic tools, medical technologies and treatments.</w:t>
      </w:r>
      <w:r w:rsidR="001247AC" w:rsidRPr="001247AC">
        <w:rPr>
          <w:vertAlign w:val="superscript"/>
        </w:rPr>
        <w:t xml:space="preserve"> 20</w:t>
      </w:r>
      <w:r w:rsidRPr="00221544">
        <w:t xml:space="preserve"> </w:t>
      </w:r>
    </w:p>
    <w:p w14:paraId="15F09DB9" w14:textId="77777777" w:rsidR="00F617B9" w:rsidRPr="00221544" w:rsidRDefault="00F617B9" w:rsidP="00AE1EA8">
      <w:pPr>
        <w:pStyle w:val="BodyText"/>
        <w:ind w:right="1435"/>
        <w:jc w:val="both"/>
      </w:pPr>
    </w:p>
    <w:p w14:paraId="7AD93815" w14:textId="7D6254AE" w:rsidR="00AE1EA8" w:rsidRPr="00221544" w:rsidRDefault="00AE1EA8" w:rsidP="00AE1EA8">
      <w:pPr>
        <w:pStyle w:val="BodyText"/>
        <w:ind w:right="1435"/>
        <w:jc w:val="both"/>
      </w:pPr>
      <w:r w:rsidRPr="00221544">
        <w:t>Prevention is a central theme throughout the Plan. Recognising that a substantial proportion of dementia cases are associated with modifiable risk factors, the Plan includes actions to reduce smoking, improve diet, tackle obesity, increase physical activity and improve cardiovascular health. These measures support a broader population health approach to reducing future dementia risk and promoting brain health across the life course.</w:t>
      </w:r>
      <w:r w:rsidR="001247AC" w:rsidRPr="001247AC">
        <w:rPr>
          <w:vertAlign w:val="superscript"/>
        </w:rPr>
        <w:t xml:space="preserve"> 20</w:t>
      </w:r>
      <w:r w:rsidRPr="00221544">
        <w:t xml:space="preserve"> </w:t>
      </w:r>
      <w:r w:rsidR="000E5CAD" w:rsidRPr="000E5CAD">
        <w:rPr>
          <w:vertAlign w:val="superscript"/>
        </w:rPr>
        <w:t>21</w:t>
      </w:r>
    </w:p>
    <w:p w14:paraId="7A49773C" w14:textId="7D96EBFF" w:rsidR="00AE1EA8" w:rsidRPr="00221544" w:rsidRDefault="00AE1EA8" w:rsidP="00AE1EA8">
      <w:pPr>
        <w:pStyle w:val="BodyText"/>
        <w:ind w:right="1435"/>
        <w:jc w:val="both"/>
      </w:pPr>
      <w:r w:rsidRPr="00221544">
        <w:t>Implications for Knowsley: The NHS 10 Year Health Plan reinforces the importance of improving dementia diagnosis rates, reducing inequalities in access to services, strengthening post-diagnostic support, supporting unpaid carers, promoting dementia prevention and brain health, and developing integrated community-based models of care. These priorities are particularly relevant in Knowsley given the borough's ageing population, levels of deprivation, and the expected increase in the number of people living with dementia over the coming decades.</w:t>
      </w:r>
      <w:r w:rsidR="001247AC" w:rsidRPr="001247AC">
        <w:rPr>
          <w:vertAlign w:val="superscript"/>
        </w:rPr>
        <w:t xml:space="preserve"> 20</w:t>
      </w:r>
      <w:r w:rsidR="008B182C">
        <w:rPr>
          <w:vertAlign w:val="superscript"/>
        </w:rPr>
        <w:t xml:space="preserve"> 21</w:t>
      </w:r>
    </w:p>
    <w:p w14:paraId="347FAA7A" w14:textId="77777777" w:rsidR="00AE1EA8" w:rsidRDefault="00AE1EA8" w:rsidP="00C544AC">
      <w:pPr>
        <w:pStyle w:val="BodyText"/>
        <w:ind w:right="1435"/>
        <w:jc w:val="both"/>
      </w:pPr>
    </w:p>
    <w:p w14:paraId="63DF028C" w14:textId="77777777" w:rsidR="00AE1EA8" w:rsidRDefault="00AE1EA8" w:rsidP="00C544AC">
      <w:pPr>
        <w:pStyle w:val="BodyText"/>
        <w:ind w:right="1435"/>
        <w:jc w:val="both"/>
        <w:rPr>
          <w:b/>
          <w:color w:val="0E0E0E"/>
        </w:rPr>
      </w:pPr>
    </w:p>
    <w:p w14:paraId="1373A148" w14:textId="3A7018ED" w:rsidR="00E761DA" w:rsidRDefault="00E761DA" w:rsidP="00E52F47">
      <w:pPr>
        <w:pStyle w:val="BodyText"/>
        <w:ind w:right="1435"/>
        <w:jc w:val="both"/>
        <w:rPr>
          <w:b/>
          <w:color w:val="0E0E0E"/>
        </w:rPr>
      </w:pPr>
      <w:r w:rsidRPr="00F67A67">
        <w:rPr>
          <w:b/>
          <w:color w:val="0E0E0E"/>
        </w:rPr>
        <w:t>National Institute for Health and Care Excellence (NICE) guidance</w:t>
      </w:r>
    </w:p>
    <w:p w14:paraId="32EBE7A3" w14:textId="77777777" w:rsidR="00E52F47" w:rsidRPr="00F67A67" w:rsidRDefault="00E52F47" w:rsidP="00C544AC">
      <w:pPr>
        <w:pStyle w:val="BodyText"/>
        <w:ind w:right="1435"/>
        <w:jc w:val="both"/>
        <w:rPr>
          <w:b/>
        </w:rPr>
      </w:pPr>
    </w:p>
    <w:p w14:paraId="31D38B2C" w14:textId="5B302C02" w:rsidR="00E761DA" w:rsidRDefault="00E761DA" w:rsidP="00E52F47">
      <w:pPr>
        <w:pStyle w:val="BodyText"/>
        <w:ind w:left="142" w:right="1435"/>
        <w:jc w:val="both"/>
      </w:pPr>
      <w:r w:rsidRPr="00F67A67">
        <w:t xml:space="preserve">The following guidelines are available from NICE specifically in relation to dementia, </w:t>
      </w:r>
      <w:r w:rsidRPr="00F67A67">
        <w:lastRenderedPageBreak/>
        <w:t xml:space="preserve">plus in addition there are NICE pathways to support clinicians: </w:t>
      </w:r>
    </w:p>
    <w:p w14:paraId="2769907E" w14:textId="77777777" w:rsidR="00E52F47" w:rsidRPr="00F67A67" w:rsidRDefault="00E52F47" w:rsidP="00C544AC">
      <w:pPr>
        <w:pStyle w:val="BodyText"/>
        <w:ind w:left="142" w:right="1435"/>
        <w:jc w:val="both"/>
      </w:pPr>
    </w:p>
    <w:p w14:paraId="1B8EDE9E" w14:textId="2F3D55E6" w:rsidR="00E761DA" w:rsidRDefault="00E761DA" w:rsidP="00E52F47">
      <w:pPr>
        <w:pStyle w:val="BodyText"/>
        <w:ind w:left="142" w:right="1435"/>
        <w:jc w:val="both"/>
      </w:pPr>
      <w:hyperlink r:id="rId17" w:history="1">
        <w:r w:rsidRPr="00F67A67">
          <w:t>Dementia: assessment, management and support for people living with dementia and their carers (NG97)</w:t>
        </w:r>
      </w:hyperlink>
      <w:r w:rsidR="0064237B" w:rsidRPr="00F67A67">
        <w:t xml:space="preserve"> - </w:t>
      </w:r>
      <w:r w:rsidR="002579F3" w:rsidRPr="00F67A67">
        <w:t xml:space="preserve">Published June 2018 - </w:t>
      </w:r>
      <w:r w:rsidRPr="00F67A67">
        <w:t>Evidence-based recommendations on diagnosing and managing dementia (including Alzheimer’s disease)</w:t>
      </w:r>
      <w:r w:rsidR="00400104" w:rsidRPr="00F67A67">
        <w:t>.</w:t>
      </w:r>
      <w:r w:rsidRPr="00F67A67">
        <w:t xml:space="preserve"> </w:t>
      </w:r>
      <w:r w:rsidR="009B1F42" w:rsidRPr="00F67A67">
        <w:t xml:space="preserve"> This guidance was reviewe</w:t>
      </w:r>
      <w:r w:rsidR="00DE7CA1" w:rsidRPr="00F67A67">
        <w:t>d in September 2023 and proposals made not to update the guidance</w:t>
      </w:r>
      <w:r w:rsidR="0001013D" w:rsidRPr="00F67A67">
        <w:t>.</w:t>
      </w:r>
    </w:p>
    <w:p w14:paraId="1999DE48" w14:textId="77777777" w:rsidR="00E52F47" w:rsidRPr="00F67A67" w:rsidRDefault="00E52F47" w:rsidP="00C544AC">
      <w:pPr>
        <w:pStyle w:val="BodyText"/>
        <w:ind w:left="142" w:right="1435"/>
        <w:jc w:val="both"/>
      </w:pPr>
    </w:p>
    <w:p w14:paraId="299FE160" w14:textId="4611C245" w:rsidR="004F0E2C" w:rsidRDefault="00E761DA" w:rsidP="00E52F47">
      <w:pPr>
        <w:pStyle w:val="BodyText"/>
        <w:ind w:left="142" w:right="1435"/>
        <w:jc w:val="both"/>
      </w:pPr>
      <w:hyperlink r:id="rId18" w:history="1">
        <w:r w:rsidRPr="00F67A67">
          <w:t>Dementia: independence and wellbeing (QS</w:t>
        </w:r>
        <w:r w:rsidR="00DC3CC0" w:rsidRPr="00F67A67">
          <w:t>184</w:t>
        </w:r>
        <w:r w:rsidRPr="00F67A67">
          <w:t>)</w:t>
        </w:r>
      </w:hyperlink>
      <w:r w:rsidRPr="00F67A67">
        <w:t xml:space="preserve"> - Quality standard Published </w:t>
      </w:r>
      <w:r w:rsidR="00DC3CC0" w:rsidRPr="00F67A67">
        <w:t>June</w:t>
      </w:r>
      <w:r w:rsidRPr="00F67A67">
        <w:t xml:space="preserve"> 201</w:t>
      </w:r>
      <w:r w:rsidR="00DC3CC0" w:rsidRPr="00F67A67">
        <w:t>9</w:t>
      </w:r>
      <w:r w:rsidRPr="00F67A67">
        <w:t xml:space="preserve"> </w:t>
      </w:r>
      <w:r w:rsidR="006D7B24" w:rsidRPr="00F67A67">
        <w:t xml:space="preserve">- </w:t>
      </w:r>
      <w:r w:rsidR="004F0E2C" w:rsidRPr="00F67A67">
        <w:t>These standard</w:t>
      </w:r>
      <w:r w:rsidR="0064237B" w:rsidRPr="00F67A67">
        <w:t>s</w:t>
      </w:r>
      <w:r w:rsidR="004F0E2C" w:rsidRPr="00F67A67">
        <w:t xml:space="preserve"> cover</w:t>
      </w:r>
      <w:r w:rsidR="00E17BAC" w:rsidRPr="00F67A67">
        <w:t xml:space="preserve"> preventing dementia, and assessment, management and health and social care support for people with dementia. It describes high-quality care in priority areas for improvement.</w:t>
      </w:r>
    </w:p>
    <w:p w14:paraId="173EB565" w14:textId="77777777" w:rsidR="00E52F47" w:rsidRPr="00F67A67" w:rsidRDefault="00E52F47" w:rsidP="00C544AC">
      <w:pPr>
        <w:pStyle w:val="BodyText"/>
        <w:ind w:left="142" w:right="1435"/>
        <w:jc w:val="both"/>
      </w:pPr>
    </w:p>
    <w:p w14:paraId="241F614C" w14:textId="4BFF9F75" w:rsidR="00E761DA" w:rsidRPr="00F67A67" w:rsidRDefault="00E761DA" w:rsidP="00C544AC">
      <w:pPr>
        <w:pStyle w:val="BodyText"/>
        <w:ind w:left="142" w:right="1435"/>
        <w:jc w:val="both"/>
      </w:pPr>
      <w:hyperlink r:id="rId19" w:history="1">
        <w:r w:rsidRPr="00F67A67">
          <w:t>Dementia, disability and frailty in later life – mid-life approaches to delay or prevent onset (NG16)</w:t>
        </w:r>
      </w:hyperlink>
      <w:r w:rsidRPr="00F67A67">
        <w:t xml:space="preserve"> </w:t>
      </w:r>
      <w:r w:rsidR="002579F3" w:rsidRPr="00F67A67">
        <w:t>-</w:t>
      </w:r>
      <w:r w:rsidR="00D4385A" w:rsidRPr="00F67A67">
        <w:t xml:space="preserve"> </w:t>
      </w:r>
      <w:r w:rsidR="002579F3" w:rsidRPr="00F67A67">
        <w:t xml:space="preserve">Published October 2015 - </w:t>
      </w:r>
      <w:r w:rsidRPr="00F67A67">
        <w:t xml:space="preserve">Evidence-based recommendations to help reduce the risk of or delay the onset of disability, dementia and frailty in later life. </w:t>
      </w:r>
    </w:p>
    <w:p w14:paraId="6DFDB889" w14:textId="3E618300" w:rsidR="000F471A" w:rsidRPr="00C7218C" w:rsidRDefault="000F471A" w:rsidP="00C544AC">
      <w:pPr>
        <w:pStyle w:val="BodyText"/>
        <w:ind w:left="142" w:right="1435"/>
        <w:jc w:val="both"/>
      </w:pPr>
      <w:r w:rsidRPr="00F67A67">
        <w:t>Donepezil, galantamine, rivastigmine and memantine for the treatment of Alzheimer's disease</w:t>
      </w:r>
      <w:r w:rsidR="00401253" w:rsidRPr="00F67A67">
        <w:t xml:space="preserve"> - Published March 2011</w:t>
      </w:r>
      <w:r w:rsidR="00D4001A" w:rsidRPr="00F67A67">
        <w:t>, updated June 2018</w:t>
      </w:r>
    </w:p>
    <w:p w14:paraId="6D609751" w14:textId="77777777" w:rsidR="00C07FF5" w:rsidRDefault="00C07FF5" w:rsidP="00A94858">
      <w:pPr>
        <w:jc w:val="both"/>
        <w:rPr>
          <w:highlight w:val="yellow"/>
        </w:rPr>
      </w:pPr>
    </w:p>
    <w:p w14:paraId="446CA3D1" w14:textId="77777777" w:rsidR="00C83158" w:rsidRDefault="00C83158" w:rsidP="00A94858">
      <w:pPr>
        <w:jc w:val="both"/>
        <w:rPr>
          <w:highlight w:val="yellow"/>
        </w:rPr>
      </w:pPr>
    </w:p>
    <w:p w14:paraId="2D99E767" w14:textId="6DC68A7E" w:rsidR="00E43B7F" w:rsidRPr="00A94858" w:rsidRDefault="008E4F52" w:rsidP="008E4F52">
      <w:pPr>
        <w:pStyle w:val="Heading1"/>
        <w:tabs>
          <w:tab w:val="left" w:pos="861"/>
        </w:tabs>
        <w:jc w:val="both"/>
        <w:rPr>
          <w:sz w:val="24"/>
          <w:szCs w:val="24"/>
          <w:u w:val="single"/>
        </w:rPr>
      </w:pPr>
      <w:bookmarkStart w:id="10" w:name="_Toc236218949"/>
      <w:r w:rsidRPr="00A94858">
        <w:rPr>
          <w:sz w:val="24"/>
          <w:szCs w:val="24"/>
          <w:u w:val="single"/>
        </w:rPr>
        <w:t>6.0</w:t>
      </w:r>
      <w:r w:rsidRPr="00A94858">
        <w:rPr>
          <w:sz w:val="24"/>
          <w:szCs w:val="24"/>
          <w:u w:val="single"/>
        </w:rPr>
        <w:tab/>
        <w:t>LOCAL POLICY DRIVERS</w:t>
      </w:r>
      <w:bookmarkEnd w:id="10"/>
    </w:p>
    <w:p w14:paraId="044F2054" w14:textId="77777777" w:rsidR="00E43B7F" w:rsidRDefault="00E43B7F" w:rsidP="00A94858">
      <w:pPr>
        <w:jc w:val="both"/>
        <w:rPr>
          <w:highlight w:val="yellow"/>
        </w:rPr>
      </w:pPr>
    </w:p>
    <w:p w14:paraId="6A97FC0C" w14:textId="0A4DD6AF" w:rsidR="00E43B7F" w:rsidRPr="00E43B7F" w:rsidRDefault="00DA43DD" w:rsidP="008E4F52">
      <w:pPr>
        <w:pStyle w:val="Heading2"/>
      </w:pPr>
      <w:bookmarkStart w:id="11" w:name="_Toc236218950"/>
      <w:r>
        <w:t>6.1</w:t>
      </w:r>
      <w:r>
        <w:tab/>
      </w:r>
      <w:r w:rsidR="00F50AC6">
        <w:t>ICB Dementia Strategy</w:t>
      </w:r>
      <w:bookmarkEnd w:id="11"/>
    </w:p>
    <w:p w14:paraId="4F735DDE" w14:textId="77777777" w:rsidR="008E4F52" w:rsidRDefault="00F378A0" w:rsidP="008E4F52">
      <w:pPr>
        <w:pStyle w:val="BodyText"/>
        <w:ind w:left="142" w:right="1446"/>
        <w:jc w:val="both"/>
      </w:pPr>
      <w:r>
        <w:t>A Cheshire &amp; Merseyside ICB wide st</w:t>
      </w:r>
      <w:r w:rsidR="00884E49">
        <w:t xml:space="preserve">rategy is currently in development and due for imminent release. This will be a </w:t>
      </w:r>
      <w:r w:rsidR="00726109">
        <w:t>5-year</w:t>
      </w:r>
      <w:r w:rsidR="00F50AC6">
        <w:t xml:space="preserve"> designed to ensure equal access services across C&amp;M.  </w:t>
      </w:r>
      <w:r w:rsidR="00884E49">
        <w:t>Supporting the implementation of the strategy e</w:t>
      </w:r>
      <w:r w:rsidR="00F50AC6">
        <w:t xml:space="preserve">ach place will have its own action plan, based on the Dementia 100 toolkit, to identify areas for development. </w:t>
      </w:r>
    </w:p>
    <w:p w14:paraId="3612C483" w14:textId="7D48084D" w:rsidR="00F50AC6" w:rsidRDefault="00F50AC6" w:rsidP="00A94858">
      <w:pPr>
        <w:pStyle w:val="BodyText"/>
        <w:ind w:left="142" w:right="1446"/>
        <w:jc w:val="both"/>
      </w:pPr>
      <w:r>
        <w:t xml:space="preserve"> </w:t>
      </w:r>
    </w:p>
    <w:p w14:paraId="22139E44" w14:textId="0DA9E256" w:rsidR="00C21900" w:rsidRDefault="00C21900" w:rsidP="008E4F52">
      <w:pPr>
        <w:pStyle w:val="BodyText"/>
        <w:ind w:left="142" w:right="1446"/>
        <w:jc w:val="both"/>
        <w:rPr>
          <w:b/>
          <w:bCs/>
        </w:rPr>
      </w:pPr>
      <w:r w:rsidRPr="00B44931">
        <w:rPr>
          <w:b/>
          <w:bCs/>
        </w:rPr>
        <w:t xml:space="preserve">Mersey Care NHS </w:t>
      </w:r>
      <w:r w:rsidR="008070C7" w:rsidRPr="00B44931">
        <w:rPr>
          <w:b/>
          <w:bCs/>
        </w:rPr>
        <w:t>Community Transformation</w:t>
      </w:r>
    </w:p>
    <w:p w14:paraId="73C05FD3" w14:textId="77777777" w:rsidR="008E4F52" w:rsidRPr="00B44931" w:rsidRDefault="008E4F52" w:rsidP="00A94858">
      <w:pPr>
        <w:pStyle w:val="BodyText"/>
        <w:ind w:left="142" w:right="1446"/>
        <w:jc w:val="both"/>
        <w:rPr>
          <w:b/>
          <w:bCs/>
        </w:rPr>
      </w:pPr>
    </w:p>
    <w:p w14:paraId="26B3BD4D" w14:textId="67A8DCF6" w:rsidR="00F50AC6" w:rsidRDefault="008070C7" w:rsidP="00A94858">
      <w:pPr>
        <w:pStyle w:val="BodyText"/>
        <w:ind w:left="142" w:right="1446"/>
        <w:jc w:val="both"/>
      </w:pPr>
      <w:r>
        <w:t xml:space="preserve">Mersey Care NHS Foundation Trust is entering a period of Older Adult/ Dementia services transformation following the merger of </w:t>
      </w:r>
      <w:r w:rsidR="00884E49">
        <w:t>Mersey Care and North West Boroughs Foundation Trust.  This may lead to service redesign for Know</w:t>
      </w:r>
      <w:r w:rsidR="00566B11">
        <w:t xml:space="preserve">sley Later Life and Memory Services. </w:t>
      </w:r>
    </w:p>
    <w:p w14:paraId="7373234F" w14:textId="77777777" w:rsidR="00312A03" w:rsidRDefault="00312A03" w:rsidP="00A94858">
      <w:pPr>
        <w:pStyle w:val="BodyText"/>
        <w:ind w:left="140" w:right="1445"/>
        <w:jc w:val="both"/>
      </w:pPr>
    </w:p>
    <w:p w14:paraId="7924BE6D" w14:textId="4CF01511" w:rsidR="002579F3" w:rsidRDefault="00312A03" w:rsidP="008E4F52">
      <w:pPr>
        <w:pStyle w:val="Heading2"/>
      </w:pPr>
      <w:bookmarkStart w:id="12" w:name="_Toc236218951"/>
      <w:r>
        <w:t>6.2</w:t>
      </w:r>
      <w:r>
        <w:tab/>
      </w:r>
      <w:r w:rsidR="00B1296A" w:rsidRPr="00B1296A">
        <w:t xml:space="preserve">Knowsley’s </w:t>
      </w:r>
      <w:r w:rsidR="002579F3" w:rsidRPr="00B1296A">
        <w:t>Dementia Strategy</w:t>
      </w:r>
      <w:bookmarkEnd w:id="12"/>
    </w:p>
    <w:p w14:paraId="3BFDF407" w14:textId="77777777" w:rsidR="008E4F52" w:rsidRPr="00B1296A" w:rsidRDefault="008E4F52" w:rsidP="008E4F52">
      <w:pPr>
        <w:pStyle w:val="Heading2"/>
      </w:pPr>
    </w:p>
    <w:p w14:paraId="23FDEF88" w14:textId="13FE3D0A" w:rsidR="0040579B" w:rsidRDefault="002C7014" w:rsidP="00A94858">
      <w:pPr>
        <w:pStyle w:val="BodyText"/>
        <w:ind w:left="140" w:right="1445"/>
        <w:jc w:val="both"/>
      </w:pPr>
      <w:r w:rsidRPr="002C7014">
        <w:t>Knowsley Council, on behalf of all partner agencies across the borough, has commissioned the Alzheimer’s Society to develop a new Knowsley-wide Dementia Strategy, which is scheduled for publication by the end of 2026</w:t>
      </w:r>
      <w:r>
        <w:t>.</w:t>
      </w:r>
    </w:p>
    <w:p w14:paraId="7701A6D8" w14:textId="77777777" w:rsidR="002C7014" w:rsidRPr="002774A5" w:rsidRDefault="002C7014" w:rsidP="00A94858">
      <w:pPr>
        <w:pStyle w:val="BodyText"/>
        <w:ind w:left="140" w:right="1445"/>
        <w:jc w:val="both"/>
        <w:rPr>
          <w:u w:val="single"/>
        </w:rPr>
      </w:pPr>
    </w:p>
    <w:p w14:paraId="3CDC6473" w14:textId="5EFB8A18" w:rsidR="00B1296A" w:rsidRPr="002774A5" w:rsidRDefault="00B1296A" w:rsidP="00F87EA3">
      <w:pPr>
        <w:rPr>
          <w:sz w:val="24"/>
          <w:szCs w:val="24"/>
          <w:u w:val="single"/>
        </w:rPr>
      </w:pPr>
    </w:p>
    <w:p w14:paraId="6F6F42BA" w14:textId="14E626E5" w:rsidR="00207C03" w:rsidRPr="002774A5" w:rsidRDefault="00E91061" w:rsidP="0096196A">
      <w:pPr>
        <w:pStyle w:val="Heading1"/>
        <w:tabs>
          <w:tab w:val="left" w:pos="861"/>
        </w:tabs>
        <w:jc w:val="both"/>
        <w:rPr>
          <w:sz w:val="24"/>
          <w:szCs w:val="24"/>
          <w:u w:val="single"/>
        </w:rPr>
      </w:pPr>
      <w:bookmarkStart w:id="13" w:name="_Toc236218952"/>
      <w:r w:rsidRPr="00E91061">
        <w:rPr>
          <w:sz w:val="24"/>
          <w:szCs w:val="24"/>
          <w:u w:val="single"/>
        </w:rPr>
        <w:t>7.0</w:t>
      </w:r>
      <w:r w:rsidRPr="00E91061">
        <w:rPr>
          <w:sz w:val="24"/>
          <w:szCs w:val="24"/>
          <w:u w:val="single"/>
        </w:rPr>
        <w:tab/>
        <w:t>THE KNOWSLEY PICTURE</w:t>
      </w:r>
      <w:bookmarkEnd w:id="13"/>
    </w:p>
    <w:p w14:paraId="1A5FDBCD" w14:textId="77777777" w:rsidR="0096196A" w:rsidRPr="00C07FF5" w:rsidRDefault="0096196A" w:rsidP="00E91061">
      <w:pPr>
        <w:pStyle w:val="BodyText"/>
      </w:pPr>
    </w:p>
    <w:p w14:paraId="535C5CF4" w14:textId="77777777" w:rsidR="0065360C" w:rsidRDefault="0065360C" w:rsidP="002774A5">
      <w:pPr>
        <w:pStyle w:val="BodyText"/>
        <w:ind w:right="1435" w:firstLine="142"/>
        <w:jc w:val="both"/>
        <w:rPr>
          <w:b/>
        </w:rPr>
      </w:pPr>
      <w:r>
        <w:rPr>
          <w:b/>
        </w:rPr>
        <w:t>7</w:t>
      </w:r>
      <w:r w:rsidRPr="00E60431">
        <w:rPr>
          <w:b/>
        </w:rPr>
        <w:t>.1</w:t>
      </w:r>
      <w:r w:rsidRPr="00E60431">
        <w:rPr>
          <w:b/>
        </w:rPr>
        <w:tab/>
        <w:t>Prevalence of Dementia</w:t>
      </w:r>
    </w:p>
    <w:p w14:paraId="530A3418" w14:textId="748F1574" w:rsidR="00916991" w:rsidRPr="00E60431" w:rsidRDefault="00916991" w:rsidP="002774A5">
      <w:pPr>
        <w:pStyle w:val="BodyText"/>
        <w:ind w:right="1435" w:firstLine="142"/>
        <w:jc w:val="both"/>
        <w:rPr>
          <w:b/>
        </w:rPr>
      </w:pPr>
    </w:p>
    <w:p w14:paraId="4ABF8E77" w14:textId="498D09D4" w:rsidR="00520ADE" w:rsidRPr="00F67A67" w:rsidRDefault="00D17A4B" w:rsidP="00E91061">
      <w:pPr>
        <w:pStyle w:val="BodyText"/>
        <w:ind w:left="142" w:right="1435"/>
        <w:jc w:val="both"/>
      </w:pPr>
      <w:r w:rsidRPr="00F67A67">
        <w:t xml:space="preserve">Prevalence of dementia </w:t>
      </w:r>
      <w:r w:rsidR="00D81A30" w:rsidRPr="00F67A67">
        <w:t>of</w:t>
      </w:r>
      <w:r w:rsidR="005E43BD" w:rsidRPr="00F67A67">
        <w:t xml:space="preserve"> Knowsley</w:t>
      </w:r>
      <w:r w:rsidR="00D81A30" w:rsidRPr="00F67A67">
        <w:t xml:space="preserve"> </w:t>
      </w:r>
      <w:r w:rsidR="003B27CB" w:rsidRPr="00F67A67">
        <w:t>sub</w:t>
      </w:r>
      <w:r w:rsidR="00D272C0" w:rsidRPr="00F67A67">
        <w:t>-</w:t>
      </w:r>
      <w:r w:rsidR="003B27CB" w:rsidRPr="00F67A67">
        <w:t>ICB</w:t>
      </w:r>
      <w:r w:rsidR="00CF0053" w:rsidRPr="00F67A67">
        <w:t xml:space="preserve"> GP registers</w:t>
      </w:r>
      <w:r w:rsidR="005E43BD" w:rsidRPr="00F67A67">
        <w:t xml:space="preserve"> was 0.</w:t>
      </w:r>
      <w:r w:rsidR="00C71A5C" w:rsidRPr="00F67A67">
        <w:t>6</w:t>
      </w:r>
      <w:r w:rsidR="006F5C28" w:rsidRPr="00F67A67">
        <w:t>4</w:t>
      </w:r>
      <w:r w:rsidR="00F27B38" w:rsidRPr="00F67A67">
        <w:t>% in 20</w:t>
      </w:r>
      <w:r w:rsidR="00C71A5C" w:rsidRPr="00F67A67">
        <w:t>2</w:t>
      </w:r>
      <w:r w:rsidR="006F5C28" w:rsidRPr="00F67A67">
        <w:t>4</w:t>
      </w:r>
      <w:r w:rsidR="00F27B38" w:rsidRPr="00F67A67">
        <w:t>/</w:t>
      </w:r>
      <w:r w:rsidR="00C71A5C" w:rsidRPr="00F67A67">
        <w:t>2</w:t>
      </w:r>
      <w:r w:rsidR="006F5C28" w:rsidRPr="00F67A67">
        <w:t>5</w:t>
      </w:r>
      <w:r w:rsidR="00D033BA" w:rsidRPr="00F67A67">
        <w:t xml:space="preserve"> this is </w:t>
      </w:r>
      <w:r w:rsidR="00F05FE1" w:rsidRPr="00F67A67">
        <w:t xml:space="preserve">lower than </w:t>
      </w:r>
      <w:r w:rsidR="00D033BA" w:rsidRPr="00F67A67">
        <w:t>England (0.7</w:t>
      </w:r>
      <w:r w:rsidR="00EC5A96" w:rsidRPr="00F67A67">
        <w:t>6</w:t>
      </w:r>
      <w:r w:rsidR="00D033BA" w:rsidRPr="00F67A67">
        <w:t>%)</w:t>
      </w:r>
      <w:r w:rsidRPr="00F67A67">
        <w:t xml:space="preserve"> </w:t>
      </w:r>
      <w:r w:rsidR="00F05FE1" w:rsidRPr="00F67A67">
        <w:t>and</w:t>
      </w:r>
      <w:r w:rsidR="00D033BA" w:rsidRPr="00F67A67">
        <w:t xml:space="preserve"> </w:t>
      </w:r>
      <w:r w:rsidR="00C71A5C" w:rsidRPr="00F67A67">
        <w:t>Cheshire and Merseyside</w:t>
      </w:r>
      <w:r w:rsidR="00D033BA" w:rsidRPr="00F67A67">
        <w:t xml:space="preserve"> (0.8</w:t>
      </w:r>
      <w:r w:rsidR="00843623" w:rsidRPr="00F67A67">
        <w:t>7</w:t>
      </w:r>
      <w:r w:rsidR="00D033BA" w:rsidRPr="00F67A67">
        <w:t>%)</w:t>
      </w:r>
      <w:r w:rsidRPr="00F67A67">
        <w:t>.</w:t>
      </w:r>
      <w:r w:rsidR="00D033BA" w:rsidRPr="00F67A67">
        <w:t xml:space="preserve">  Prevalence rates </w:t>
      </w:r>
      <w:r w:rsidR="001B7A4C" w:rsidRPr="00F67A67">
        <w:t>decreased l</w:t>
      </w:r>
      <w:r w:rsidR="00D033BA" w:rsidRPr="00F67A67">
        <w:t>ocally and nationally</w:t>
      </w:r>
      <w:r w:rsidR="00F27B38" w:rsidRPr="00F67A67">
        <w:t xml:space="preserve"> </w:t>
      </w:r>
      <w:r w:rsidR="00B251D9" w:rsidRPr="00F67A67">
        <w:t xml:space="preserve">from </w:t>
      </w:r>
      <w:r w:rsidR="00F27B38" w:rsidRPr="00F67A67">
        <w:t>20</w:t>
      </w:r>
      <w:r w:rsidR="001B7A4C" w:rsidRPr="00F67A67">
        <w:t>19</w:t>
      </w:r>
      <w:r w:rsidR="00F27B38" w:rsidRPr="00F67A67">
        <w:t>/</w:t>
      </w:r>
      <w:r w:rsidR="001B7A4C" w:rsidRPr="00F67A67">
        <w:t>20</w:t>
      </w:r>
      <w:r w:rsidR="00DF79D2" w:rsidRPr="00F67A67">
        <w:t xml:space="preserve"> to 2020/21</w:t>
      </w:r>
      <w:r w:rsidR="00D033BA" w:rsidRPr="00F67A67">
        <w:t>.</w:t>
      </w:r>
      <w:r w:rsidR="00A233A9" w:rsidRPr="00F67A67">
        <w:t xml:space="preserve"> </w:t>
      </w:r>
      <w:r w:rsidR="00EE039B" w:rsidRPr="00F67A67">
        <w:t>The Covid-19 pandemic had a significant</w:t>
      </w:r>
      <w:r w:rsidR="00F65469" w:rsidRPr="00F67A67">
        <w:t xml:space="preserve"> impact on Dementia prevalence. </w:t>
      </w:r>
      <w:r w:rsidR="00EE27EB" w:rsidRPr="00F67A67">
        <w:t xml:space="preserve">Since </w:t>
      </w:r>
      <w:r w:rsidR="008E3A78" w:rsidRPr="00F67A67">
        <w:t>then,</w:t>
      </w:r>
      <w:r w:rsidR="00EE27EB" w:rsidRPr="00F67A67">
        <w:t xml:space="preserve"> however</w:t>
      </w:r>
      <w:r w:rsidR="00900000" w:rsidRPr="00F67A67">
        <w:t xml:space="preserve"> prevalence has increased year on year</w:t>
      </w:r>
      <w:r w:rsidR="00E01441">
        <w:t xml:space="preserve">, </w:t>
      </w:r>
      <w:r w:rsidR="00356096">
        <w:t>because of</w:t>
      </w:r>
      <w:r w:rsidR="00E01441">
        <w:t xml:space="preserve"> more assessments being completed</w:t>
      </w:r>
      <w:r w:rsidR="00A6032F" w:rsidRPr="00F67A67">
        <w:t>.</w:t>
      </w:r>
      <w:r w:rsidR="00F65469" w:rsidRPr="00F67A67">
        <w:t xml:space="preserve"> </w:t>
      </w:r>
      <w:r w:rsidR="002C7FEF" w:rsidRPr="00F67A67">
        <w:t>In 202</w:t>
      </w:r>
      <w:r w:rsidR="00A6032F" w:rsidRPr="00F67A67">
        <w:t>4</w:t>
      </w:r>
      <w:r w:rsidR="002C7FEF" w:rsidRPr="00F67A67">
        <w:t>/2</w:t>
      </w:r>
      <w:r w:rsidR="00A6032F" w:rsidRPr="00F67A67">
        <w:t>5</w:t>
      </w:r>
      <w:r w:rsidR="002C7FEF" w:rsidRPr="00F67A67">
        <w:t xml:space="preserve"> there were 1,</w:t>
      </w:r>
      <w:r w:rsidR="00A6032F" w:rsidRPr="00F67A67">
        <w:t>119</w:t>
      </w:r>
      <w:r w:rsidR="00B92D93" w:rsidRPr="00F67A67">
        <w:t xml:space="preserve"> </w:t>
      </w:r>
      <w:r w:rsidR="00E4785A" w:rsidRPr="00F67A67">
        <w:t xml:space="preserve">people with </w:t>
      </w:r>
      <w:r w:rsidR="00B92D93" w:rsidRPr="00F67A67">
        <w:t xml:space="preserve">diagnosed </w:t>
      </w:r>
      <w:r w:rsidR="00400626" w:rsidRPr="00F67A67">
        <w:t>dementia</w:t>
      </w:r>
      <w:r w:rsidR="00E4785A" w:rsidRPr="00F67A67">
        <w:t xml:space="preserve">.  This is </w:t>
      </w:r>
      <w:r w:rsidR="004475AB" w:rsidRPr="00F67A67">
        <w:t xml:space="preserve">lower than 2018/19 </w:t>
      </w:r>
      <w:r w:rsidR="00DB45D6" w:rsidRPr="00F67A67">
        <w:t>(</w:t>
      </w:r>
      <w:r w:rsidR="00C07289" w:rsidRPr="00F67A67">
        <w:t xml:space="preserve">before the Covid-19 pandemic) </w:t>
      </w:r>
      <w:r w:rsidR="004475AB" w:rsidRPr="00F67A67">
        <w:t>when there were</w:t>
      </w:r>
      <w:r w:rsidR="008E0DB7" w:rsidRPr="00F67A67">
        <w:t xml:space="preserve"> 1,212</w:t>
      </w:r>
      <w:r w:rsidR="00D87D20" w:rsidRPr="00F67A67">
        <w:t xml:space="preserve"> people with dementia.  Around 200 people</w:t>
      </w:r>
      <w:r w:rsidR="007A5383" w:rsidRPr="00F67A67">
        <w:t xml:space="preserve"> with diagnosed demen</w:t>
      </w:r>
      <w:r w:rsidR="00AD24EE" w:rsidRPr="00F67A67">
        <w:t xml:space="preserve">tia were lost during the </w:t>
      </w:r>
      <w:r w:rsidR="00AD24EE" w:rsidRPr="00F67A67">
        <w:lastRenderedPageBreak/>
        <w:t>pandemic in Knowsley.</w:t>
      </w:r>
      <w:r w:rsidR="00400626" w:rsidRPr="00F67A67">
        <w:t xml:space="preserve"> </w:t>
      </w:r>
    </w:p>
    <w:p w14:paraId="7C1BAC04" w14:textId="77777777" w:rsidR="00B653A2" w:rsidRPr="00F67A67" w:rsidRDefault="00B653A2" w:rsidP="00FC6DC9">
      <w:pPr>
        <w:pStyle w:val="BodyText"/>
        <w:ind w:left="142" w:right="1435"/>
        <w:jc w:val="both"/>
      </w:pPr>
    </w:p>
    <w:p w14:paraId="1A9A4E42" w14:textId="4667CB94" w:rsidR="00B653A2" w:rsidRPr="00F67A67" w:rsidRDefault="00B346E6" w:rsidP="00FC6DC9">
      <w:pPr>
        <w:pStyle w:val="BodyText"/>
        <w:ind w:left="142" w:right="1435"/>
        <w:jc w:val="both"/>
      </w:pPr>
      <w:r w:rsidRPr="00F67A67">
        <w:t>Dementia Prevalence</w:t>
      </w:r>
      <w:r w:rsidR="000B54B3" w:rsidRPr="00F67A67">
        <w:t xml:space="preserve"> in 202</w:t>
      </w:r>
      <w:r w:rsidR="00C07289" w:rsidRPr="00F67A67">
        <w:t>4</w:t>
      </w:r>
      <w:r w:rsidR="000B54B3" w:rsidRPr="00F67A67">
        <w:t>/2</w:t>
      </w:r>
      <w:r w:rsidR="00C07289" w:rsidRPr="00F67A67">
        <w:t>5</w:t>
      </w:r>
      <w:r w:rsidRPr="00F67A67">
        <w:t xml:space="preserve"> is lowest in </w:t>
      </w:r>
      <w:r w:rsidR="0073470F" w:rsidRPr="00F67A67">
        <w:t>Kirkby PCN (0.</w:t>
      </w:r>
      <w:r w:rsidR="00CF40B6" w:rsidRPr="00F67A67">
        <w:t>52</w:t>
      </w:r>
      <w:r w:rsidR="0073470F" w:rsidRPr="00F67A67">
        <w:t xml:space="preserve">%), which is lower than Knowsley Central and South PCN </w:t>
      </w:r>
      <w:r w:rsidR="00C02F47" w:rsidRPr="00F67A67">
        <w:t>(</w:t>
      </w:r>
      <w:r w:rsidR="0073470F" w:rsidRPr="00F67A67">
        <w:t>0.6</w:t>
      </w:r>
      <w:r w:rsidR="00E12BFB" w:rsidRPr="00F67A67">
        <w:t>8</w:t>
      </w:r>
      <w:r w:rsidR="0073470F" w:rsidRPr="00F67A67">
        <w:t>%</w:t>
      </w:r>
      <w:r w:rsidR="00C02F47" w:rsidRPr="00F67A67">
        <w:t>)</w:t>
      </w:r>
      <w:r w:rsidR="0073470F" w:rsidRPr="00F67A67">
        <w:t xml:space="preserve"> </w:t>
      </w:r>
      <w:r w:rsidR="00C02F47" w:rsidRPr="00F67A67">
        <w:t xml:space="preserve">and </w:t>
      </w:r>
      <w:r w:rsidR="00B653A2" w:rsidRPr="00F67A67">
        <w:t xml:space="preserve">West Knowsley PCN </w:t>
      </w:r>
      <w:r w:rsidR="00C02F47" w:rsidRPr="00F67A67">
        <w:t>(</w:t>
      </w:r>
      <w:r w:rsidR="00B653A2" w:rsidRPr="00F67A67">
        <w:t>0.</w:t>
      </w:r>
      <w:r w:rsidR="00E12BFB" w:rsidRPr="00F67A67">
        <w:t>71</w:t>
      </w:r>
      <w:r w:rsidR="00B653A2" w:rsidRPr="00F67A67">
        <w:t>%</w:t>
      </w:r>
      <w:r w:rsidR="00C02F47" w:rsidRPr="00F67A67">
        <w:t>).</w:t>
      </w:r>
    </w:p>
    <w:p w14:paraId="31C9551B" w14:textId="77777777" w:rsidR="00FB2CF3" w:rsidRPr="00F67A67" w:rsidRDefault="00FB2CF3" w:rsidP="00FC6DC9">
      <w:pPr>
        <w:pStyle w:val="BodyText"/>
        <w:ind w:left="142" w:right="1435"/>
        <w:jc w:val="both"/>
      </w:pPr>
    </w:p>
    <w:p w14:paraId="13D2B98A" w14:textId="77777777" w:rsidR="00FB2CF3" w:rsidRDefault="00FB2CF3" w:rsidP="00FC6DC9">
      <w:pPr>
        <w:pStyle w:val="BodyText"/>
        <w:ind w:left="142" w:right="1435"/>
        <w:jc w:val="both"/>
      </w:pPr>
      <w:r w:rsidRPr="00F67A67">
        <w:t xml:space="preserve">Dementia prevalence tends to be higher in rural and coastal </w:t>
      </w:r>
      <w:r w:rsidR="00DB47CC" w:rsidRPr="00F67A67">
        <w:t>areas;</w:t>
      </w:r>
      <w:r w:rsidRPr="00F67A67">
        <w:t xml:space="preserve"> this reflects population structures and the higher incidence of care home and retirement destinations in such areas.</w:t>
      </w:r>
    </w:p>
    <w:p w14:paraId="4D220CA6" w14:textId="14E2440B" w:rsidR="00520ADE" w:rsidRDefault="00520ADE" w:rsidP="00334DF7">
      <w:pPr>
        <w:widowControl/>
        <w:autoSpaceDE/>
        <w:autoSpaceDN/>
        <w:ind w:left="140"/>
        <w:jc w:val="both"/>
        <w:rPr>
          <w:i/>
          <w:sz w:val="18"/>
        </w:rPr>
      </w:pPr>
    </w:p>
    <w:p w14:paraId="2E4C080F" w14:textId="433D737D" w:rsidR="00334DF7" w:rsidRDefault="00C9722C" w:rsidP="000C595C">
      <w:pPr>
        <w:widowControl/>
        <w:autoSpaceDE/>
        <w:autoSpaceDN/>
        <w:ind w:firstLine="140"/>
        <w:jc w:val="center"/>
        <w:rPr>
          <w:rFonts w:asciiTheme="minorHAnsi" w:eastAsia="Calibri" w:hAnsiTheme="minorHAnsi"/>
          <w:sz w:val="24"/>
          <w:szCs w:val="24"/>
          <w:lang w:eastAsia="en-US" w:bidi="ar-SA"/>
        </w:rPr>
      </w:pPr>
      <w:r>
        <w:rPr>
          <w:noProof/>
        </w:rPr>
        <w:drawing>
          <wp:inline distT="0" distB="0" distL="0" distR="0" wp14:anchorId="278459B4" wp14:editId="17BF4024">
            <wp:extent cx="3895780" cy="2376887"/>
            <wp:effectExtent l="0" t="0" r="0" b="4445"/>
            <wp:docPr id="1843778163" name="Chart 1">
              <a:extLst xmlns:a="http://schemas.openxmlformats.org/drawingml/2006/main">
                <a:ext uri="{FF2B5EF4-FFF2-40B4-BE49-F238E27FC236}">
                  <a16:creationId xmlns:a16="http://schemas.microsoft.com/office/drawing/2014/main" id="{B55B0242-9522-4277-99B0-19FA317DB7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1FC0126" w14:textId="5FB89DCA" w:rsidR="00233402" w:rsidRDefault="00233402" w:rsidP="00233402">
      <w:pPr>
        <w:widowControl/>
        <w:autoSpaceDE/>
        <w:autoSpaceDN/>
        <w:ind w:left="140"/>
        <w:jc w:val="both"/>
        <w:rPr>
          <w:i/>
          <w:sz w:val="18"/>
        </w:rPr>
      </w:pPr>
      <w:r>
        <w:rPr>
          <w:i/>
          <w:sz w:val="18"/>
        </w:rPr>
        <w:t>Figure 1: Dementia prevalence 2011/12 to 202</w:t>
      </w:r>
      <w:r w:rsidR="00C9722C">
        <w:rPr>
          <w:i/>
          <w:sz w:val="18"/>
        </w:rPr>
        <w:t>4</w:t>
      </w:r>
      <w:r>
        <w:rPr>
          <w:i/>
          <w:sz w:val="18"/>
        </w:rPr>
        <w:t>/2</w:t>
      </w:r>
      <w:r w:rsidR="00C9722C">
        <w:rPr>
          <w:i/>
          <w:sz w:val="18"/>
        </w:rPr>
        <w:t>5</w:t>
      </w:r>
      <w:r>
        <w:rPr>
          <w:i/>
          <w:sz w:val="18"/>
        </w:rPr>
        <w:t xml:space="preserve">    </w:t>
      </w:r>
    </w:p>
    <w:p w14:paraId="1BC4F7EE" w14:textId="77777777" w:rsidR="00233402" w:rsidRDefault="00233402" w:rsidP="00233402">
      <w:pPr>
        <w:widowControl/>
        <w:autoSpaceDE/>
        <w:autoSpaceDN/>
        <w:ind w:left="140"/>
        <w:jc w:val="both"/>
        <w:rPr>
          <w:i/>
          <w:sz w:val="18"/>
        </w:rPr>
      </w:pPr>
      <w:r w:rsidRPr="00334DF7">
        <w:rPr>
          <w:i/>
          <w:sz w:val="18"/>
        </w:rPr>
        <w:t>Source: Quality and Outcomes Framework (QOF) and Public Health England GP Practice Profiles</w:t>
      </w:r>
    </w:p>
    <w:p w14:paraId="7F8665CA" w14:textId="77777777" w:rsidR="00233402" w:rsidRDefault="00233402" w:rsidP="003B27CB">
      <w:pPr>
        <w:widowControl/>
        <w:autoSpaceDE/>
        <w:autoSpaceDN/>
        <w:ind w:firstLine="140"/>
        <w:jc w:val="center"/>
        <w:rPr>
          <w:rFonts w:asciiTheme="minorHAnsi" w:eastAsia="Calibri" w:hAnsiTheme="minorHAnsi"/>
          <w:sz w:val="24"/>
          <w:szCs w:val="24"/>
          <w:lang w:eastAsia="en-US" w:bidi="ar-SA"/>
        </w:rPr>
      </w:pPr>
    </w:p>
    <w:p w14:paraId="1944C5AA" w14:textId="77777777" w:rsidR="00404A39" w:rsidRDefault="00404A39" w:rsidP="00FC6DC9">
      <w:pPr>
        <w:widowControl/>
        <w:autoSpaceDE/>
        <w:autoSpaceDN/>
        <w:ind w:firstLine="140"/>
        <w:jc w:val="center"/>
        <w:rPr>
          <w:rFonts w:asciiTheme="minorHAnsi" w:eastAsia="Calibri" w:hAnsiTheme="minorHAnsi"/>
          <w:sz w:val="24"/>
          <w:szCs w:val="24"/>
          <w:lang w:eastAsia="en-US" w:bidi="ar-SA"/>
        </w:rPr>
      </w:pPr>
    </w:p>
    <w:p w14:paraId="35DDF36D" w14:textId="53C5DC97" w:rsidR="00334DF7" w:rsidRDefault="00F27B38" w:rsidP="00FC6DC9">
      <w:pPr>
        <w:widowControl/>
        <w:autoSpaceDE/>
        <w:autoSpaceDN/>
        <w:ind w:left="142" w:right="1435"/>
        <w:jc w:val="both"/>
        <w:rPr>
          <w:sz w:val="24"/>
          <w:szCs w:val="24"/>
        </w:rPr>
      </w:pPr>
      <w:r w:rsidRPr="00F67A67">
        <w:rPr>
          <w:sz w:val="24"/>
          <w:szCs w:val="24"/>
        </w:rPr>
        <w:t>In the 20</w:t>
      </w:r>
      <w:r w:rsidR="00DA5670" w:rsidRPr="00F67A67">
        <w:rPr>
          <w:sz w:val="24"/>
          <w:szCs w:val="24"/>
        </w:rPr>
        <w:t>2</w:t>
      </w:r>
      <w:r w:rsidR="00D55248" w:rsidRPr="00F67A67">
        <w:rPr>
          <w:sz w:val="24"/>
          <w:szCs w:val="24"/>
        </w:rPr>
        <w:t>4</w:t>
      </w:r>
      <w:r w:rsidRPr="00F67A67">
        <w:rPr>
          <w:sz w:val="24"/>
          <w:szCs w:val="24"/>
        </w:rPr>
        <w:t>/</w:t>
      </w:r>
      <w:r w:rsidR="00DA5670" w:rsidRPr="00F67A67">
        <w:rPr>
          <w:sz w:val="24"/>
          <w:szCs w:val="24"/>
        </w:rPr>
        <w:t>2</w:t>
      </w:r>
      <w:r w:rsidR="00D55248" w:rsidRPr="00F67A67">
        <w:rPr>
          <w:sz w:val="24"/>
          <w:szCs w:val="24"/>
        </w:rPr>
        <w:t>5</w:t>
      </w:r>
      <w:r w:rsidR="00334DF7" w:rsidRPr="00F67A67">
        <w:rPr>
          <w:sz w:val="24"/>
          <w:szCs w:val="24"/>
        </w:rPr>
        <w:t xml:space="preserve"> year, the </w:t>
      </w:r>
      <w:r w:rsidR="00881DCB" w:rsidRPr="00F67A67">
        <w:rPr>
          <w:sz w:val="24"/>
          <w:szCs w:val="24"/>
        </w:rPr>
        <w:t xml:space="preserve">proportions of </w:t>
      </w:r>
      <w:r w:rsidR="005A7E49" w:rsidRPr="00F67A67">
        <w:rPr>
          <w:sz w:val="24"/>
          <w:szCs w:val="24"/>
        </w:rPr>
        <w:t>Dementia</w:t>
      </w:r>
      <w:r w:rsidR="00334DF7" w:rsidRPr="00F67A67">
        <w:rPr>
          <w:sz w:val="24"/>
          <w:szCs w:val="24"/>
        </w:rPr>
        <w:t xml:space="preserve"> at G</w:t>
      </w:r>
      <w:r w:rsidR="00D71124" w:rsidRPr="00F67A67">
        <w:rPr>
          <w:sz w:val="24"/>
          <w:szCs w:val="24"/>
        </w:rPr>
        <w:t>P practice level varied from 0.</w:t>
      </w:r>
      <w:r w:rsidR="00DA5670" w:rsidRPr="00F67A67">
        <w:rPr>
          <w:sz w:val="24"/>
          <w:szCs w:val="24"/>
        </w:rPr>
        <w:t>2</w:t>
      </w:r>
      <w:r w:rsidR="00635C29" w:rsidRPr="00F67A67">
        <w:rPr>
          <w:sz w:val="24"/>
          <w:szCs w:val="24"/>
        </w:rPr>
        <w:t>3</w:t>
      </w:r>
      <w:r w:rsidR="00D71124" w:rsidRPr="00F67A67">
        <w:rPr>
          <w:sz w:val="24"/>
          <w:szCs w:val="24"/>
        </w:rPr>
        <w:t>% to 1.</w:t>
      </w:r>
      <w:r w:rsidR="00635C29" w:rsidRPr="00F67A67">
        <w:rPr>
          <w:sz w:val="24"/>
          <w:szCs w:val="24"/>
        </w:rPr>
        <w:t>5</w:t>
      </w:r>
      <w:r w:rsidR="007816C6" w:rsidRPr="00F67A67">
        <w:rPr>
          <w:sz w:val="24"/>
          <w:szCs w:val="24"/>
        </w:rPr>
        <w:t>5</w:t>
      </w:r>
      <w:r w:rsidR="00334DF7" w:rsidRPr="00F67A67">
        <w:rPr>
          <w:sz w:val="24"/>
          <w:szCs w:val="24"/>
        </w:rPr>
        <w:t>%</w:t>
      </w:r>
      <w:r w:rsidR="007F334F" w:rsidRPr="00F67A67">
        <w:rPr>
          <w:sz w:val="24"/>
          <w:szCs w:val="24"/>
        </w:rPr>
        <w:t xml:space="preserve">, with </w:t>
      </w:r>
      <w:r w:rsidR="002D7A6A" w:rsidRPr="00F67A67">
        <w:rPr>
          <w:sz w:val="24"/>
          <w:szCs w:val="24"/>
        </w:rPr>
        <w:t>five</w:t>
      </w:r>
      <w:r w:rsidR="007F334F" w:rsidRPr="00F67A67">
        <w:rPr>
          <w:sz w:val="24"/>
          <w:szCs w:val="24"/>
        </w:rPr>
        <w:t xml:space="preserve"> GP practices having </w:t>
      </w:r>
      <w:r w:rsidR="00404A39" w:rsidRPr="00F67A67">
        <w:rPr>
          <w:sz w:val="24"/>
          <w:szCs w:val="24"/>
        </w:rPr>
        <w:t xml:space="preserve">Dementia </w:t>
      </w:r>
      <w:r w:rsidR="007F334F" w:rsidRPr="00F67A67">
        <w:rPr>
          <w:sz w:val="24"/>
          <w:szCs w:val="24"/>
        </w:rPr>
        <w:t xml:space="preserve">prevalence </w:t>
      </w:r>
      <w:r w:rsidR="00FB750F" w:rsidRPr="00F67A67">
        <w:rPr>
          <w:sz w:val="24"/>
          <w:szCs w:val="24"/>
        </w:rPr>
        <w:t>above the</w:t>
      </w:r>
      <w:r w:rsidR="007F334F" w:rsidRPr="00F67A67">
        <w:rPr>
          <w:sz w:val="24"/>
          <w:szCs w:val="24"/>
        </w:rPr>
        <w:t xml:space="preserve"> England average</w:t>
      </w:r>
      <w:r w:rsidR="00334DF7" w:rsidRPr="00F67A67">
        <w:rPr>
          <w:sz w:val="24"/>
          <w:szCs w:val="24"/>
        </w:rPr>
        <w:t>.</w:t>
      </w:r>
      <w:r w:rsidR="00AF7DA3">
        <w:rPr>
          <w:sz w:val="24"/>
          <w:szCs w:val="24"/>
        </w:rPr>
        <w:t xml:space="preserve">  </w:t>
      </w:r>
    </w:p>
    <w:p w14:paraId="26170D70" w14:textId="77777777" w:rsidR="00DA5670" w:rsidRPr="00D81E66" w:rsidRDefault="00DA5670" w:rsidP="00334DF7">
      <w:pPr>
        <w:widowControl/>
        <w:autoSpaceDE/>
        <w:autoSpaceDN/>
        <w:ind w:firstLine="140"/>
        <w:jc w:val="both"/>
        <w:rPr>
          <w:sz w:val="24"/>
          <w:szCs w:val="24"/>
        </w:rPr>
      </w:pPr>
    </w:p>
    <w:p w14:paraId="1ED07D7B" w14:textId="29DC139D" w:rsidR="00334DF7" w:rsidRPr="00D81E66" w:rsidRDefault="00D55248" w:rsidP="00B6454D">
      <w:pPr>
        <w:widowControl/>
        <w:autoSpaceDE/>
        <w:autoSpaceDN/>
        <w:rPr>
          <w:sz w:val="24"/>
          <w:szCs w:val="24"/>
        </w:rPr>
      </w:pPr>
      <w:r>
        <w:rPr>
          <w:noProof/>
        </w:rPr>
        <w:drawing>
          <wp:inline distT="0" distB="0" distL="0" distR="0" wp14:anchorId="7AE9482C" wp14:editId="5DFA52FF">
            <wp:extent cx="5527675" cy="2814431"/>
            <wp:effectExtent l="0" t="0" r="0" b="5080"/>
            <wp:docPr id="899125550" name="Chart 1">
              <a:extLst xmlns:a="http://schemas.openxmlformats.org/drawingml/2006/main">
                <a:ext uri="{FF2B5EF4-FFF2-40B4-BE49-F238E27FC236}">
                  <a16:creationId xmlns:a16="http://schemas.microsoft.com/office/drawing/2014/main" id="{CD1EAFC6-EA2C-C33D-58A9-A9231ABCD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D5BB4E4" w14:textId="77777777" w:rsidR="00F527CB" w:rsidRDefault="00F527CB" w:rsidP="00334DF7">
      <w:pPr>
        <w:widowControl/>
        <w:autoSpaceDE/>
        <w:autoSpaceDN/>
        <w:ind w:firstLine="140"/>
        <w:jc w:val="both"/>
        <w:rPr>
          <w:i/>
          <w:sz w:val="18"/>
        </w:rPr>
      </w:pPr>
    </w:p>
    <w:p w14:paraId="3F6AAC34" w14:textId="2FEC6E5A" w:rsidR="00334DF7" w:rsidRPr="00334DF7" w:rsidRDefault="00334DF7" w:rsidP="00334DF7">
      <w:pPr>
        <w:widowControl/>
        <w:autoSpaceDE/>
        <w:autoSpaceDN/>
        <w:ind w:firstLine="140"/>
        <w:jc w:val="both"/>
        <w:rPr>
          <w:i/>
          <w:sz w:val="18"/>
        </w:rPr>
      </w:pPr>
      <w:r w:rsidRPr="00334DF7">
        <w:rPr>
          <w:i/>
          <w:sz w:val="18"/>
        </w:rPr>
        <w:t xml:space="preserve">Figure 2: </w:t>
      </w:r>
      <w:r>
        <w:rPr>
          <w:i/>
          <w:sz w:val="18"/>
        </w:rPr>
        <w:t>Dementia</w:t>
      </w:r>
      <w:r w:rsidR="00F27B38">
        <w:rPr>
          <w:i/>
          <w:sz w:val="18"/>
        </w:rPr>
        <w:t xml:space="preserve"> Prevalence by GP Practice, 20</w:t>
      </w:r>
      <w:r w:rsidR="00AF1C7F">
        <w:rPr>
          <w:i/>
          <w:sz w:val="18"/>
        </w:rPr>
        <w:t>2</w:t>
      </w:r>
      <w:r w:rsidR="002D7A6A">
        <w:rPr>
          <w:i/>
          <w:sz w:val="18"/>
        </w:rPr>
        <w:t>4</w:t>
      </w:r>
      <w:r w:rsidR="00F27B38">
        <w:rPr>
          <w:i/>
          <w:sz w:val="18"/>
        </w:rPr>
        <w:t>/</w:t>
      </w:r>
      <w:r w:rsidR="00AF1C7F">
        <w:rPr>
          <w:i/>
          <w:sz w:val="18"/>
        </w:rPr>
        <w:t>2</w:t>
      </w:r>
      <w:r w:rsidR="002D7A6A">
        <w:rPr>
          <w:i/>
          <w:sz w:val="18"/>
        </w:rPr>
        <w:t>5</w:t>
      </w:r>
    </w:p>
    <w:p w14:paraId="7A5D1C88" w14:textId="7F29E116" w:rsidR="00334DF7" w:rsidRDefault="00334DF7" w:rsidP="00334DF7">
      <w:pPr>
        <w:widowControl/>
        <w:autoSpaceDE/>
        <w:autoSpaceDN/>
        <w:ind w:left="140"/>
        <w:jc w:val="both"/>
        <w:rPr>
          <w:i/>
          <w:sz w:val="18"/>
        </w:rPr>
      </w:pPr>
      <w:r w:rsidRPr="00334DF7">
        <w:rPr>
          <w:i/>
          <w:sz w:val="18"/>
        </w:rPr>
        <w:t xml:space="preserve">Source: Quality and Outcomes Framework (QOF) and </w:t>
      </w:r>
      <w:r w:rsidR="004E5A4F">
        <w:rPr>
          <w:i/>
          <w:sz w:val="18"/>
        </w:rPr>
        <w:t>OHID</w:t>
      </w:r>
      <w:r w:rsidRPr="00334DF7">
        <w:rPr>
          <w:i/>
          <w:sz w:val="18"/>
        </w:rPr>
        <w:t xml:space="preserve"> GP Practice Profiles</w:t>
      </w:r>
    </w:p>
    <w:p w14:paraId="1C08782C" w14:textId="77777777" w:rsidR="00C21220" w:rsidRDefault="00C21220" w:rsidP="00334DF7">
      <w:pPr>
        <w:widowControl/>
        <w:autoSpaceDE/>
        <w:autoSpaceDN/>
        <w:ind w:left="140"/>
        <w:jc w:val="both"/>
        <w:rPr>
          <w:i/>
          <w:sz w:val="18"/>
        </w:rPr>
      </w:pPr>
    </w:p>
    <w:p w14:paraId="50D30175" w14:textId="77777777" w:rsidR="00C21220" w:rsidRDefault="00C21220" w:rsidP="00334DF7">
      <w:pPr>
        <w:widowControl/>
        <w:autoSpaceDE/>
        <w:autoSpaceDN/>
        <w:ind w:left="140"/>
        <w:jc w:val="both"/>
        <w:rPr>
          <w:i/>
          <w:sz w:val="18"/>
        </w:rPr>
      </w:pPr>
    </w:p>
    <w:p w14:paraId="76B301A7" w14:textId="77777777" w:rsidR="00C21220" w:rsidRDefault="00C21220" w:rsidP="00334DF7">
      <w:pPr>
        <w:widowControl/>
        <w:autoSpaceDE/>
        <w:autoSpaceDN/>
        <w:ind w:left="140"/>
        <w:jc w:val="both"/>
        <w:rPr>
          <w:i/>
          <w:sz w:val="18"/>
        </w:rPr>
      </w:pPr>
    </w:p>
    <w:p w14:paraId="5AEF707C" w14:textId="77777777" w:rsidR="00FC6DC9" w:rsidRDefault="00FC6DC9" w:rsidP="00334DF7">
      <w:pPr>
        <w:widowControl/>
        <w:autoSpaceDE/>
        <w:autoSpaceDN/>
        <w:ind w:left="140"/>
        <w:jc w:val="both"/>
        <w:rPr>
          <w:i/>
          <w:sz w:val="18"/>
        </w:rPr>
      </w:pPr>
    </w:p>
    <w:p w14:paraId="0A2808F7" w14:textId="77777777" w:rsidR="00FC6DC9" w:rsidRDefault="00FC6DC9" w:rsidP="00334DF7">
      <w:pPr>
        <w:widowControl/>
        <w:autoSpaceDE/>
        <w:autoSpaceDN/>
        <w:ind w:left="140"/>
        <w:jc w:val="both"/>
        <w:rPr>
          <w:i/>
          <w:sz w:val="18"/>
        </w:rPr>
      </w:pPr>
    </w:p>
    <w:p w14:paraId="0325E84A" w14:textId="77777777" w:rsidR="00FC6DC9" w:rsidRDefault="00FC6DC9" w:rsidP="00334DF7">
      <w:pPr>
        <w:widowControl/>
        <w:autoSpaceDE/>
        <w:autoSpaceDN/>
        <w:ind w:left="140"/>
        <w:jc w:val="both"/>
        <w:rPr>
          <w:i/>
          <w:sz w:val="18"/>
        </w:rPr>
      </w:pPr>
    </w:p>
    <w:p w14:paraId="09658531" w14:textId="719B35EE" w:rsidR="00AD24EE" w:rsidRDefault="008159E9" w:rsidP="00FC6DC9">
      <w:pPr>
        <w:pStyle w:val="Heading2"/>
      </w:pPr>
      <w:bookmarkStart w:id="14" w:name="_Toc236218953"/>
      <w:r>
        <w:lastRenderedPageBreak/>
        <w:t>7</w:t>
      </w:r>
      <w:r w:rsidR="00AD24EE" w:rsidRPr="00CB6EC2">
        <w:t>.2</w:t>
      </w:r>
      <w:r w:rsidR="00AD24EE" w:rsidRPr="00CB6EC2">
        <w:tab/>
      </w:r>
      <w:r w:rsidR="00BF18B9">
        <w:t>Types of diagnosed Dementia in Knowsley</w:t>
      </w:r>
      <w:r w:rsidR="00E03A5C" w:rsidRPr="00E03A5C">
        <w:rPr>
          <w:vertAlign w:val="superscript"/>
        </w:rPr>
        <w:t>15</w:t>
      </w:r>
      <w:bookmarkEnd w:id="14"/>
    </w:p>
    <w:p w14:paraId="675DEA10" w14:textId="77777777" w:rsidR="00BF18B9" w:rsidRDefault="00BF18B9" w:rsidP="007E6F4B">
      <w:pPr>
        <w:pStyle w:val="BodyText"/>
        <w:ind w:right="1435" w:firstLine="142"/>
        <w:jc w:val="both"/>
        <w:rPr>
          <w:b/>
        </w:rPr>
      </w:pPr>
    </w:p>
    <w:p w14:paraId="5BF1F16F" w14:textId="0FAF739B" w:rsidR="00D93697" w:rsidRPr="00D93697" w:rsidRDefault="00A3152A" w:rsidP="00FC6DC9">
      <w:pPr>
        <w:pStyle w:val="BodyText"/>
        <w:ind w:right="1435"/>
        <w:jc w:val="both"/>
        <w:rPr>
          <w:bCs/>
        </w:rPr>
      </w:pPr>
      <w:r w:rsidRPr="00F67A67">
        <w:rPr>
          <w:bCs/>
        </w:rPr>
        <w:t xml:space="preserve">Around half </w:t>
      </w:r>
      <w:r w:rsidR="00291155" w:rsidRPr="00F67A67">
        <w:rPr>
          <w:bCs/>
        </w:rPr>
        <w:t>(</w:t>
      </w:r>
      <w:r w:rsidR="0091249D" w:rsidRPr="00F67A67">
        <w:rPr>
          <w:bCs/>
        </w:rPr>
        <w:t>5</w:t>
      </w:r>
      <w:r w:rsidR="00AD4932">
        <w:rPr>
          <w:bCs/>
        </w:rPr>
        <w:t>1</w:t>
      </w:r>
      <w:r w:rsidR="0091249D" w:rsidRPr="00F67A67">
        <w:rPr>
          <w:bCs/>
        </w:rPr>
        <w:t>.</w:t>
      </w:r>
      <w:r w:rsidR="00AD4932">
        <w:rPr>
          <w:bCs/>
        </w:rPr>
        <w:t>5</w:t>
      </w:r>
      <w:r w:rsidR="00291155" w:rsidRPr="00F67A67">
        <w:rPr>
          <w:bCs/>
        </w:rPr>
        <w:t xml:space="preserve">%) </w:t>
      </w:r>
      <w:r w:rsidRPr="00F67A67">
        <w:rPr>
          <w:bCs/>
        </w:rPr>
        <w:t xml:space="preserve">of diagnosed dementia in Knowsley is </w:t>
      </w:r>
      <w:r w:rsidR="00340BF2" w:rsidRPr="00F67A67">
        <w:rPr>
          <w:bCs/>
        </w:rPr>
        <w:t>Alzheimer’s</w:t>
      </w:r>
      <w:r w:rsidR="00291155" w:rsidRPr="00F67A67">
        <w:rPr>
          <w:bCs/>
        </w:rPr>
        <w:t xml:space="preserve"> disease</w:t>
      </w:r>
      <w:r w:rsidR="004B0E69" w:rsidRPr="00F67A67">
        <w:rPr>
          <w:bCs/>
        </w:rPr>
        <w:t xml:space="preserve">, with a quarter </w:t>
      </w:r>
      <w:r w:rsidR="00E600E8" w:rsidRPr="00F67A67">
        <w:rPr>
          <w:bCs/>
        </w:rPr>
        <w:t xml:space="preserve">of people with diagnosed dementia having </w:t>
      </w:r>
      <w:r w:rsidR="009931FF" w:rsidRPr="00F67A67">
        <w:rPr>
          <w:bCs/>
        </w:rPr>
        <w:t>“</w:t>
      </w:r>
      <w:r w:rsidR="00E600E8" w:rsidRPr="00F67A67">
        <w:rPr>
          <w:bCs/>
        </w:rPr>
        <w:t>other</w:t>
      </w:r>
      <w:r w:rsidR="009931FF" w:rsidRPr="00F67A67">
        <w:rPr>
          <w:bCs/>
        </w:rPr>
        <w:t xml:space="preserve"> dementia types”.  1</w:t>
      </w:r>
      <w:r w:rsidR="00AD4932">
        <w:rPr>
          <w:bCs/>
        </w:rPr>
        <w:t>3.3</w:t>
      </w:r>
      <w:r w:rsidR="009931FF" w:rsidRPr="00F67A67">
        <w:rPr>
          <w:bCs/>
        </w:rPr>
        <w:t xml:space="preserve">% of </w:t>
      </w:r>
      <w:r w:rsidR="0028308C" w:rsidRPr="00F67A67">
        <w:rPr>
          <w:bCs/>
        </w:rPr>
        <w:t>diagnosed people have vascular dementia.</w:t>
      </w:r>
      <w:r w:rsidR="003E1693" w:rsidRPr="00F67A67">
        <w:rPr>
          <w:bCs/>
        </w:rPr>
        <w:t xml:space="preserve"> Knowsley differs </w:t>
      </w:r>
      <w:r w:rsidR="002F5F43" w:rsidRPr="00F67A67">
        <w:rPr>
          <w:bCs/>
        </w:rPr>
        <w:t xml:space="preserve">from the England data where </w:t>
      </w:r>
      <w:r w:rsidR="00385DAD" w:rsidRPr="00F67A67">
        <w:rPr>
          <w:bCs/>
        </w:rPr>
        <w:t>only 42</w:t>
      </w:r>
      <w:r w:rsidR="007053A3">
        <w:rPr>
          <w:bCs/>
        </w:rPr>
        <w:t>.2</w:t>
      </w:r>
      <w:r w:rsidR="00385DAD" w:rsidRPr="00F67A67">
        <w:rPr>
          <w:bCs/>
        </w:rPr>
        <w:t xml:space="preserve">% of diagnosed dementia is </w:t>
      </w:r>
      <w:r w:rsidR="00340BF2" w:rsidRPr="00F67A67">
        <w:rPr>
          <w:bCs/>
        </w:rPr>
        <w:t>Alzheimer’s</w:t>
      </w:r>
      <w:r w:rsidR="005867DC" w:rsidRPr="00F67A67">
        <w:rPr>
          <w:bCs/>
        </w:rPr>
        <w:t>, with England having higher proportions of all other types.</w:t>
      </w:r>
      <w:r w:rsidR="009931FF">
        <w:rPr>
          <w:bCs/>
        </w:rPr>
        <w:t xml:space="preserve"> </w:t>
      </w:r>
      <w:r w:rsidR="00E600E8">
        <w:rPr>
          <w:bCs/>
        </w:rPr>
        <w:t xml:space="preserve">  </w:t>
      </w:r>
    </w:p>
    <w:p w14:paraId="5CE7E7F9" w14:textId="02B3600C" w:rsidR="004B780F" w:rsidRPr="00AD5948" w:rsidRDefault="004B780F" w:rsidP="00AD24EE">
      <w:pPr>
        <w:pStyle w:val="BodyText"/>
        <w:spacing w:line="276" w:lineRule="auto"/>
        <w:ind w:right="1435" w:firstLine="142"/>
        <w:jc w:val="both"/>
        <w:rPr>
          <w:bCs/>
        </w:rPr>
      </w:pPr>
    </w:p>
    <w:p w14:paraId="3B0EE423" w14:textId="1214BBE5" w:rsidR="00AD5948" w:rsidRDefault="00A3152A" w:rsidP="0090222F">
      <w:pPr>
        <w:pStyle w:val="BodyText"/>
        <w:spacing w:line="276" w:lineRule="auto"/>
        <w:ind w:right="1435"/>
        <w:rPr>
          <w:b/>
        </w:rPr>
      </w:pPr>
      <w:r>
        <w:rPr>
          <w:b/>
        </w:rPr>
        <w:t xml:space="preserve">Knowsley sub-ICB - </w:t>
      </w:r>
      <w:r w:rsidR="00A412B1">
        <w:rPr>
          <w:b/>
        </w:rPr>
        <w:t xml:space="preserve">Types of Diagnosed Dementia, </w:t>
      </w:r>
      <w:r w:rsidR="00B759EE">
        <w:rPr>
          <w:b/>
        </w:rPr>
        <w:t>February</w:t>
      </w:r>
      <w:r w:rsidR="00A412B1">
        <w:rPr>
          <w:b/>
        </w:rPr>
        <w:t xml:space="preserve"> 202</w:t>
      </w:r>
      <w:r w:rsidR="00B759EE">
        <w:rPr>
          <w:b/>
        </w:rPr>
        <w:t>6</w:t>
      </w:r>
      <w:r w:rsidR="00386B7A">
        <w:rPr>
          <w:b/>
        </w:rPr>
        <w:t>, Primary care</w:t>
      </w:r>
    </w:p>
    <w:tbl>
      <w:tblPr>
        <w:tblW w:w="6516" w:type="dxa"/>
        <w:tblLayout w:type="fixed"/>
        <w:tblCellMar>
          <w:left w:w="0" w:type="dxa"/>
          <w:right w:w="0" w:type="dxa"/>
        </w:tblCellMar>
        <w:tblLook w:val="04A0" w:firstRow="1" w:lastRow="0" w:firstColumn="1" w:lastColumn="0" w:noHBand="0" w:noVBand="1"/>
      </w:tblPr>
      <w:tblGrid>
        <w:gridCol w:w="3740"/>
        <w:gridCol w:w="1784"/>
        <w:gridCol w:w="992"/>
      </w:tblGrid>
      <w:tr w:rsidR="00F3287E" w14:paraId="7FE3D7B5" w14:textId="77777777" w:rsidTr="00305BA0">
        <w:trPr>
          <w:trHeight w:hRule="exact" w:val="851"/>
        </w:trPr>
        <w:tc>
          <w:tcPr>
            <w:tcW w:w="37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B68158C" w14:textId="77777777" w:rsidR="00F3287E" w:rsidRDefault="00F3287E">
            <w:pPr>
              <w:rPr>
                <w:rFonts w:ascii="Aptos Narrow" w:eastAsia="Times New Roman" w:hAnsi="Aptos Narrow" w:cs="Times New Roman"/>
                <w:color w:val="000000"/>
                <w:lang w:bidi="ar-SA"/>
              </w:rPr>
            </w:pPr>
            <w:r>
              <w:rPr>
                <w:rFonts w:ascii="Aptos Narrow" w:hAnsi="Aptos Narrow"/>
                <w:color w:val="000000"/>
              </w:rPr>
              <w:t>Dementia type</w:t>
            </w:r>
          </w:p>
        </w:tc>
        <w:tc>
          <w:tcPr>
            <w:tcW w:w="17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330F533C" w14:textId="77777777" w:rsidR="00F3287E" w:rsidRDefault="00F3287E">
            <w:pPr>
              <w:rPr>
                <w:rFonts w:ascii="Aptos Narrow" w:hAnsi="Aptos Narrow"/>
                <w:color w:val="000000"/>
              </w:rPr>
            </w:pPr>
            <w:r>
              <w:rPr>
                <w:rFonts w:ascii="Aptos Narrow" w:hAnsi="Aptos Narrow"/>
                <w:color w:val="000000"/>
              </w:rPr>
              <w:t>Number of people diagnosed with Dementia</w:t>
            </w:r>
          </w:p>
        </w:tc>
        <w:tc>
          <w:tcPr>
            <w:tcW w:w="992"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6DF8E130" w14:textId="77777777" w:rsidR="00F3287E" w:rsidRDefault="00F3287E">
            <w:pPr>
              <w:rPr>
                <w:rFonts w:ascii="Aptos Narrow" w:hAnsi="Aptos Narrow"/>
                <w:color w:val="000000"/>
              </w:rPr>
            </w:pPr>
            <w:r>
              <w:rPr>
                <w:rFonts w:ascii="Aptos Narrow" w:hAnsi="Aptos Narrow"/>
                <w:color w:val="000000"/>
              </w:rPr>
              <w:t>% of Total Dementia</w:t>
            </w:r>
          </w:p>
        </w:tc>
      </w:tr>
      <w:tr w:rsidR="00F3287E" w14:paraId="4A3F69C5" w14:textId="77777777" w:rsidTr="00305BA0">
        <w:trPr>
          <w:trHeight w:val="290"/>
        </w:trPr>
        <w:tc>
          <w:tcPr>
            <w:tcW w:w="37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2D742E6" w14:textId="77777777" w:rsidR="00F3287E" w:rsidRDefault="00F3287E">
            <w:pPr>
              <w:rPr>
                <w:rFonts w:ascii="Aptos Narrow" w:hAnsi="Aptos Narrow"/>
                <w:color w:val="000000"/>
              </w:rPr>
            </w:pPr>
            <w:r>
              <w:rPr>
                <w:rFonts w:ascii="Aptos Narrow" w:hAnsi="Aptos Narrow"/>
                <w:color w:val="000000"/>
              </w:rPr>
              <w:t>ALZHEIMERS_DISEASE</w:t>
            </w:r>
          </w:p>
        </w:tc>
        <w:tc>
          <w:tcPr>
            <w:tcW w:w="178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72E4D0A" w14:textId="53666B4D" w:rsidR="00F3287E" w:rsidRDefault="00F211A6">
            <w:pPr>
              <w:jc w:val="right"/>
              <w:rPr>
                <w:rFonts w:ascii="Aptos Narrow" w:hAnsi="Aptos Narrow"/>
                <w:color w:val="000000"/>
              </w:rPr>
            </w:pPr>
            <w:r>
              <w:rPr>
                <w:rFonts w:ascii="Aptos Narrow" w:hAnsi="Aptos Narrow"/>
                <w:color w:val="000000"/>
              </w:rPr>
              <w:t>600</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64E7085" w14:textId="20897B87" w:rsidR="00F3287E" w:rsidRDefault="00F3287E">
            <w:pPr>
              <w:jc w:val="right"/>
              <w:rPr>
                <w:rFonts w:ascii="Aptos Narrow" w:hAnsi="Aptos Narrow"/>
                <w:color w:val="000000"/>
              </w:rPr>
            </w:pPr>
            <w:r>
              <w:rPr>
                <w:rFonts w:ascii="Aptos Narrow" w:hAnsi="Aptos Narrow"/>
                <w:color w:val="000000"/>
              </w:rPr>
              <w:t>5</w:t>
            </w:r>
            <w:r w:rsidR="00F211A6">
              <w:rPr>
                <w:rFonts w:ascii="Aptos Narrow" w:hAnsi="Aptos Narrow"/>
                <w:color w:val="000000"/>
              </w:rPr>
              <w:t>1</w:t>
            </w:r>
            <w:r>
              <w:rPr>
                <w:rFonts w:ascii="Aptos Narrow" w:hAnsi="Aptos Narrow"/>
                <w:color w:val="000000"/>
              </w:rPr>
              <w:t>.</w:t>
            </w:r>
            <w:r w:rsidR="00F211A6">
              <w:rPr>
                <w:rFonts w:ascii="Aptos Narrow" w:hAnsi="Aptos Narrow"/>
                <w:color w:val="000000"/>
              </w:rPr>
              <w:t>5</w:t>
            </w:r>
            <w:r>
              <w:rPr>
                <w:rFonts w:ascii="Aptos Narrow" w:hAnsi="Aptos Narrow"/>
                <w:color w:val="000000"/>
              </w:rPr>
              <w:t>%</w:t>
            </w:r>
          </w:p>
        </w:tc>
      </w:tr>
      <w:tr w:rsidR="00F3287E" w14:paraId="27DED861" w14:textId="77777777" w:rsidTr="00305BA0">
        <w:trPr>
          <w:trHeight w:val="290"/>
        </w:trPr>
        <w:tc>
          <w:tcPr>
            <w:tcW w:w="37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DC98108" w14:textId="77777777" w:rsidR="00F3287E" w:rsidRDefault="00F3287E">
            <w:pPr>
              <w:rPr>
                <w:rFonts w:ascii="Aptos Narrow" w:hAnsi="Aptos Narrow"/>
                <w:color w:val="000000"/>
              </w:rPr>
            </w:pPr>
            <w:r>
              <w:rPr>
                <w:rFonts w:ascii="Aptos Narrow" w:hAnsi="Aptos Narrow"/>
                <w:color w:val="000000"/>
              </w:rPr>
              <w:t>FRONTOTEMPORAL</w:t>
            </w:r>
          </w:p>
        </w:tc>
        <w:tc>
          <w:tcPr>
            <w:tcW w:w="178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680146" w14:textId="2E6DED60" w:rsidR="00F3287E" w:rsidRDefault="00732E9E">
            <w:pPr>
              <w:jc w:val="right"/>
              <w:rPr>
                <w:rFonts w:ascii="Aptos Narrow" w:hAnsi="Aptos Narrow"/>
                <w:color w:val="000000"/>
              </w:rPr>
            </w:pPr>
            <w:r>
              <w:rPr>
                <w:rFonts w:ascii="Aptos Narrow" w:hAnsi="Aptos Narrow"/>
                <w:color w:val="000000"/>
              </w:rPr>
              <w:t>5</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05AD86" w14:textId="46A55918" w:rsidR="00F3287E" w:rsidRDefault="00F3287E">
            <w:pPr>
              <w:jc w:val="right"/>
              <w:rPr>
                <w:rFonts w:ascii="Aptos Narrow" w:hAnsi="Aptos Narrow"/>
                <w:color w:val="000000"/>
              </w:rPr>
            </w:pPr>
            <w:r>
              <w:rPr>
                <w:rFonts w:ascii="Aptos Narrow" w:hAnsi="Aptos Narrow"/>
                <w:color w:val="000000"/>
              </w:rPr>
              <w:t>0.</w:t>
            </w:r>
            <w:r w:rsidR="00732E9E">
              <w:rPr>
                <w:rFonts w:ascii="Aptos Narrow" w:hAnsi="Aptos Narrow"/>
                <w:color w:val="000000"/>
              </w:rPr>
              <w:t>4</w:t>
            </w:r>
            <w:r>
              <w:rPr>
                <w:rFonts w:ascii="Aptos Narrow" w:hAnsi="Aptos Narrow"/>
                <w:color w:val="000000"/>
              </w:rPr>
              <w:t>%</w:t>
            </w:r>
          </w:p>
        </w:tc>
      </w:tr>
      <w:tr w:rsidR="00F3287E" w14:paraId="4DF8FF61" w14:textId="77777777" w:rsidTr="00305BA0">
        <w:trPr>
          <w:trHeight w:val="290"/>
        </w:trPr>
        <w:tc>
          <w:tcPr>
            <w:tcW w:w="37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B1FCDE4" w14:textId="77777777" w:rsidR="00F3287E" w:rsidRDefault="00F3287E">
            <w:pPr>
              <w:rPr>
                <w:rFonts w:ascii="Aptos Narrow" w:hAnsi="Aptos Narrow"/>
                <w:color w:val="000000"/>
              </w:rPr>
            </w:pPr>
            <w:r>
              <w:rPr>
                <w:rFonts w:ascii="Aptos Narrow" w:hAnsi="Aptos Narrow"/>
                <w:color w:val="000000"/>
              </w:rPr>
              <w:t>INCONCLUSIVE_DEMENTIA_TYPE</w:t>
            </w:r>
          </w:p>
        </w:tc>
        <w:tc>
          <w:tcPr>
            <w:tcW w:w="178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E2A76B2" w14:textId="6DD2C3EF" w:rsidR="00F3287E" w:rsidRDefault="00F3287E">
            <w:pPr>
              <w:jc w:val="right"/>
              <w:rPr>
                <w:rFonts w:ascii="Aptos Narrow" w:hAnsi="Aptos Narrow"/>
                <w:color w:val="000000"/>
              </w:rPr>
            </w:pPr>
            <w:r>
              <w:rPr>
                <w:rFonts w:ascii="Aptos Narrow" w:hAnsi="Aptos Narrow"/>
                <w:color w:val="000000"/>
              </w:rPr>
              <w:t>1</w:t>
            </w:r>
            <w:r w:rsidR="00732E9E">
              <w:rPr>
                <w:rFonts w:ascii="Aptos Narrow" w:hAnsi="Aptos Narrow"/>
                <w:color w:val="000000"/>
              </w:rPr>
              <w:t>5</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E1886D2" w14:textId="243EB044" w:rsidR="00F3287E" w:rsidRDefault="00732E9E">
            <w:pPr>
              <w:jc w:val="right"/>
              <w:rPr>
                <w:rFonts w:ascii="Aptos Narrow" w:hAnsi="Aptos Narrow"/>
                <w:color w:val="000000"/>
              </w:rPr>
            </w:pPr>
            <w:r>
              <w:rPr>
                <w:rFonts w:ascii="Aptos Narrow" w:hAnsi="Aptos Narrow"/>
                <w:color w:val="000000"/>
              </w:rPr>
              <w:t>1.3</w:t>
            </w:r>
            <w:r w:rsidR="00F3287E">
              <w:rPr>
                <w:rFonts w:ascii="Aptos Narrow" w:hAnsi="Aptos Narrow"/>
                <w:color w:val="000000"/>
              </w:rPr>
              <w:t>%</w:t>
            </w:r>
          </w:p>
        </w:tc>
      </w:tr>
      <w:tr w:rsidR="00F3287E" w14:paraId="620246F3" w14:textId="77777777" w:rsidTr="00305BA0">
        <w:trPr>
          <w:trHeight w:val="290"/>
        </w:trPr>
        <w:tc>
          <w:tcPr>
            <w:tcW w:w="37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46A04F4" w14:textId="77777777" w:rsidR="00F3287E" w:rsidRDefault="00F3287E">
            <w:pPr>
              <w:rPr>
                <w:rFonts w:ascii="Aptos Narrow" w:hAnsi="Aptos Narrow"/>
                <w:color w:val="000000"/>
              </w:rPr>
            </w:pPr>
            <w:r>
              <w:rPr>
                <w:rFonts w:ascii="Aptos Narrow" w:hAnsi="Aptos Narrow"/>
                <w:color w:val="000000"/>
              </w:rPr>
              <w:t>LEWY_BODY</w:t>
            </w:r>
          </w:p>
        </w:tc>
        <w:tc>
          <w:tcPr>
            <w:tcW w:w="178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24CE0E0" w14:textId="3DBCF7D5" w:rsidR="00F3287E" w:rsidRDefault="00F3287E">
            <w:pPr>
              <w:jc w:val="right"/>
              <w:rPr>
                <w:rFonts w:ascii="Aptos Narrow" w:hAnsi="Aptos Narrow"/>
                <w:color w:val="000000"/>
              </w:rPr>
            </w:pPr>
            <w:r>
              <w:rPr>
                <w:rFonts w:ascii="Aptos Narrow" w:hAnsi="Aptos Narrow"/>
                <w:color w:val="000000"/>
              </w:rPr>
              <w:t>3</w:t>
            </w:r>
            <w:r w:rsidR="00732E9E">
              <w:rPr>
                <w:rFonts w:ascii="Aptos Narrow" w:hAnsi="Aptos Narrow"/>
                <w:color w:val="000000"/>
              </w:rPr>
              <w:t>0</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A5BE237" w14:textId="7BD6687B" w:rsidR="00F3287E" w:rsidRDefault="00732E9E">
            <w:pPr>
              <w:jc w:val="right"/>
              <w:rPr>
                <w:rFonts w:ascii="Aptos Narrow" w:hAnsi="Aptos Narrow"/>
                <w:color w:val="000000"/>
              </w:rPr>
            </w:pPr>
            <w:r>
              <w:rPr>
                <w:rFonts w:ascii="Aptos Narrow" w:hAnsi="Aptos Narrow"/>
                <w:color w:val="000000"/>
              </w:rPr>
              <w:t>2.6</w:t>
            </w:r>
            <w:r w:rsidR="00F3287E">
              <w:rPr>
                <w:rFonts w:ascii="Aptos Narrow" w:hAnsi="Aptos Narrow"/>
                <w:color w:val="000000"/>
              </w:rPr>
              <w:t>%</w:t>
            </w:r>
          </w:p>
        </w:tc>
      </w:tr>
      <w:tr w:rsidR="00F3287E" w14:paraId="2697B734" w14:textId="77777777" w:rsidTr="00305BA0">
        <w:trPr>
          <w:trHeight w:val="290"/>
        </w:trPr>
        <w:tc>
          <w:tcPr>
            <w:tcW w:w="37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C68B27F" w14:textId="77777777" w:rsidR="00F3287E" w:rsidRDefault="00F3287E">
            <w:pPr>
              <w:rPr>
                <w:rFonts w:ascii="Aptos Narrow" w:hAnsi="Aptos Narrow"/>
                <w:color w:val="000000"/>
              </w:rPr>
            </w:pPr>
            <w:r>
              <w:rPr>
                <w:rFonts w:ascii="Aptos Narrow" w:hAnsi="Aptos Narrow"/>
                <w:color w:val="000000"/>
              </w:rPr>
              <w:t>MIXED_DEMENTIA_TYPES</w:t>
            </w:r>
          </w:p>
        </w:tc>
        <w:tc>
          <w:tcPr>
            <w:tcW w:w="178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79459ED" w14:textId="77777777" w:rsidR="00F3287E" w:rsidRDefault="00F3287E">
            <w:pPr>
              <w:jc w:val="right"/>
              <w:rPr>
                <w:rFonts w:ascii="Aptos Narrow" w:hAnsi="Aptos Narrow"/>
                <w:color w:val="000000"/>
              </w:rPr>
            </w:pPr>
            <w:r>
              <w:rPr>
                <w:rFonts w:ascii="Aptos Narrow" w:hAnsi="Aptos Narrow"/>
                <w:color w:val="000000"/>
              </w:rPr>
              <w:t>70</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14A9DE3" w14:textId="6B1D8288" w:rsidR="00F3287E" w:rsidRDefault="00F3287E">
            <w:pPr>
              <w:jc w:val="right"/>
              <w:rPr>
                <w:rFonts w:ascii="Aptos Narrow" w:hAnsi="Aptos Narrow"/>
                <w:color w:val="000000"/>
              </w:rPr>
            </w:pPr>
            <w:r>
              <w:rPr>
                <w:rFonts w:ascii="Aptos Narrow" w:hAnsi="Aptos Narrow"/>
                <w:color w:val="000000"/>
              </w:rPr>
              <w:t>6.</w:t>
            </w:r>
            <w:r w:rsidR="00CE35DF">
              <w:rPr>
                <w:rFonts w:ascii="Aptos Narrow" w:hAnsi="Aptos Narrow"/>
                <w:color w:val="000000"/>
              </w:rPr>
              <w:t>0</w:t>
            </w:r>
            <w:r>
              <w:rPr>
                <w:rFonts w:ascii="Aptos Narrow" w:hAnsi="Aptos Narrow"/>
                <w:color w:val="000000"/>
              </w:rPr>
              <w:t>%</w:t>
            </w:r>
          </w:p>
        </w:tc>
      </w:tr>
      <w:tr w:rsidR="00F3287E" w14:paraId="2104EAAA" w14:textId="77777777" w:rsidTr="00305BA0">
        <w:trPr>
          <w:trHeight w:val="290"/>
        </w:trPr>
        <w:tc>
          <w:tcPr>
            <w:tcW w:w="37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55C000A" w14:textId="77777777" w:rsidR="00F3287E" w:rsidRDefault="00F3287E">
            <w:pPr>
              <w:rPr>
                <w:rFonts w:ascii="Aptos Narrow" w:hAnsi="Aptos Narrow"/>
                <w:color w:val="000000"/>
              </w:rPr>
            </w:pPr>
            <w:r>
              <w:rPr>
                <w:rFonts w:ascii="Aptos Narrow" w:hAnsi="Aptos Narrow"/>
                <w:color w:val="000000"/>
              </w:rPr>
              <w:t>OTHER_SPECIFIED_DEMENTIA_TYPES</w:t>
            </w:r>
          </w:p>
        </w:tc>
        <w:tc>
          <w:tcPr>
            <w:tcW w:w="178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7A3CD0" w14:textId="6B7AA599" w:rsidR="00F3287E" w:rsidRDefault="00CE35DF">
            <w:pPr>
              <w:jc w:val="right"/>
              <w:rPr>
                <w:rFonts w:ascii="Aptos Narrow" w:hAnsi="Aptos Narrow"/>
                <w:color w:val="000000"/>
              </w:rPr>
            </w:pPr>
            <w:r>
              <w:rPr>
                <w:rFonts w:ascii="Aptos Narrow" w:hAnsi="Aptos Narrow"/>
                <w:color w:val="000000"/>
              </w:rPr>
              <w:t>5</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D7BCA18" w14:textId="4A3D1386" w:rsidR="00F3287E" w:rsidRDefault="00F3287E">
            <w:pPr>
              <w:jc w:val="right"/>
              <w:rPr>
                <w:rFonts w:ascii="Aptos Narrow" w:hAnsi="Aptos Narrow"/>
                <w:color w:val="000000"/>
              </w:rPr>
            </w:pPr>
            <w:r>
              <w:rPr>
                <w:rFonts w:ascii="Aptos Narrow" w:hAnsi="Aptos Narrow"/>
                <w:color w:val="000000"/>
              </w:rPr>
              <w:t>0.</w:t>
            </w:r>
            <w:r w:rsidR="00CE35DF">
              <w:rPr>
                <w:rFonts w:ascii="Aptos Narrow" w:hAnsi="Aptos Narrow"/>
                <w:color w:val="000000"/>
              </w:rPr>
              <w:t>4</w:t>
            </w:r>
            <w:r>
              <w:rPr>
                <w:rFonts w:ascii="Aptos Narrow" w:hAnsi="Aptos Narrow"/>
                <w:color w:val="000000"/>
              </w:rPr>
              <w:t>%</w:t>
            </w:r>
          </w:p>
        </w:tc>
      </w:tr>
      <w:tr w:rsidR="00F3287E" w14:paraId="6B838E4C" w14:textId="77777777" w:rsidTr="00305BA0">
        <w:trPr>
          <w:trHeight w:val="290"/>
        </w:trPr>
        <w:tc>
          <w:tcPr>
            <w:tcW w:w="37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54AB3D78" w14:textId="77777777" w:rsidR="00F3287E" w:rsidRDefault="00F3287E">
            <w:pPr>
              <w:rPr>
                <w:rFonts w:ascii="Aptos Narrow" w:hAnsi="Aptos Narrow"/>
                <w:color w:val="000000"/>
              </w:rPr>
            </w:pPr>
            <w:r>
              <w:rPr>
                <w:rFonts w:ascii="Aptos Narrow" w:hAnsi="Aptos Narrow"/>
                <w:color w:val="000000"/>
              </w:rPr>
              <w:t>OTHER_UNSPECIFIED_DEMENTIA_TYPES</w:t>
            </w:r>
          </w:p>
        </w:tc>
        <w:tc>
          <w:tcPr>
            <w:tcW w:w="178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86209E6" w14:textId="550727D6" w:rsidR="00F3287E" w:rsidRDefault="00F3287E">
            <w:pPr>
              <w:jc w:val="right"/>
              <w:rPr>
                <w:rFonts w:ascii="Aptos Narrow" w:hAnsi="Aptos Narrow"/>
                <w:color w:val="000000"/>
              </w:rPr>
            </w:pPr>
            <w:r>
              <w:rPr>
                <w:rFonts w:ascii="Aptos Narrow" w:hAnsi="Aptos Narrow"/>
                <w:color w:val="000000"/>
              </w:rPr>
              <w:t>2</w:t>
            </w:r>
            <w:r w:rsidR="00CE35DF">
              <w:rPr>
                <w:rFonts w:ascii="Aptos Narrow" w:hAnsi="Aptos Narrow"/>
                <w:color w:val="000000"/>
              </w:rPr>
              <w:t>8</w:t>
            </w:r>
            <w:r>
              <w:rPr>
                <w:rFonts w:ascii="Aptos Narrow" w:hAnsi="Aptos Narrow"/>
                <w:color w:val="000000"/>
              </w:rPr>
              <w:t>5</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4228635" w14:textId="17CD28CF" w:rsidR="00F3287E" w:rsidRDefault="00F3287E">
            <w:pPr>
              <w:jc w:val="right"/>
              <w:rPr>
                <w:rFonts w:ascii="Aptos Narrow" w:hAnsi="Aptos Narrow"/>
                <w:color w:val="000000"/>
              </w:rPr>
            </w:pPr>
            <w:r>
              <w:rPr>
                <w:rFonts w:ascii="Aptos Narrow" w:hAnsi="Aptos Narrow"/>
                <w:color w:val="000000"/>
              </w:rPr>
              <w:t>2</w:t>
            </w:r>
            <w:r w:rsidR="00CE35DF">
              <w:rPr>
                <w:rFonts w:ascii="Aptos Narrow" w:hAnsi="Aptos Narrow"/>
                <w:color w:val="000000"/>
              </w:rPr>
              <w:t>4</w:t>
            </w:r>
            <w:r>
              <w:rPr>
                <w:rFonts w:ascii="Aptos Narrow" w:hAnsi="Aptos Narrow"/>
                <w:color w:val="000000"/>
              </w:rPr>
              <w:t>.</w:t>
            </w:r>
            <w:r w:rsidR="00CE35DF">
              <w:rPr>
                <w:rFonts w:ascii="Aptos Narrow" w:hAnsi="Aptos Narrow"/>
                <w:color w:val="000000"/>
              </w:rPr>
              <w:t>5</w:t>
            </w:r>
            <w:r>
              <w:rPr>
                <w:rFonts w:ascii="Aptos Narrow" w:hAnsi="Aptos Narrow"/>
                <w:color w:val="000000"/>
              </w:rPr>
              <w:t>%</w:t>
            </w:r>
          </w:p>
        </w:tc>
      </w:tr>
      <w:tr w:rsidR="00F3287E" w14:paraId="040FF304" w14:textId="77777777" w:rsidTr="00305BA0">
        <w:trPr>
          <w:trHeight w:val="290"/>
        </w:trPr>
        <w:tc>
          <w:tcPr>
            <w:tcW w:w="37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0F6DAF1" w14:textId="77777777" w:rsidR="00F3287E" w:rsidRDefault="00F3287E">
            <w:pPr>
              <w:rPr>
                <w:rFonts w:ascii="Aptos Narrow" w:hAnsi="Aptos Narrow"/>
                <w:color w:val="000000"/>
              </w:rPr>
            </w:pPr>
            <w:r>
              <w:rPr>
                <w:rFonts w:ascii="Aptos Narrow" w:hAnsi="Aptos Narrow"/>
                <w:color w:val="000000"/>
              </w:rPr>
              <w:t>VASCULAR_DEMENTIA</w:t>
            </w:r>
          </w:p>
        </w:tc>
        <w:tc>
          <w:tcPr>
            <w:tcW w:w="178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93A2798" w14:textId="60E17CB3" w:rsidR="00F3287E" w:rsidRDefault="00F3287E">
            <w:pPr>
              <w:jc w:val="right"/>
              <w:rPr>
                <w:rFonts w:ascii="Aptos Narrow" w:hAnsi="Aptos Narrow"/>
                <w:color w:val="000000"/>
              </w:rPr>
            </w:pPr>
            <w:r>
              <w:rPr>
                <w:rFonts w:ascii="Aptos Narrow" w:hAnsi="Aptos Narrow"/>
                <w:color w:val="000000"/>
              </w:rPr>
              <w:t>1</w:t>
            </w:r>
            <w:r w:rsidR="00CE35DF">
              <w:rPr>
                <w:rFonts w:ascii="Aptos Narrow" w:hAnsi="Aptos Narrow"/>
                <w:color w:val="000000"/>
              </w:rPr>
              <w:t>55</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70DB61B" w14:textId="771D2833" w:rsidR="00F3287E" w:rsidRDefault="00F3287E">
            <w:pPr>
              <w:jc w:val="right"/>
              <w:rPr>
                <w:rFonts w:ascii="Aptos Narrow" w:hAnsi="Aptos Narrow"/>
                <w:color w:val="000000"/>
              </w:rPr>
            </w:pPr>
            <w:r>
              <w:rPr>
                <w:rFonts w:ascii="Aptos Narrow" w:hAnsi="Aptos Narrow"/>
                <w:color w:val="000000"/>
              </w:rPr>
              <w:t>1</w:t>
            </w:r>
            <w:r w:rsidR="00CE35DF">
              <w:rPr>
                <w:rFonts w:ascii="Aptos Narrow" w:hAnsi="Aptos Narrow"/>
                <w:color w:val="000000"/>
              </w:rPr>
              <w:t>3</w:t>
            </w:r>
            <w:r>
              <w:rPr>
                <w:rFonts w:ascii="Aptos Narrow" w:hAnsi="Aptos Narrow"/>
                <w:color w:val="000000"/>
              </w:rPr>
              <w:t>.3%</w:t>
            </w:r>
          </w:p>
        </w:tc>
      </w:tr>
      <w:tr w:rsidR="00F3287E" w14:paraId="7B272F2C" w14:textId="77777777" w:rsidTr="00305BA0">
        <w:trPr>
          <w:trHeight w:val="290"/>
        </w:trPr>
        <w:tc>
          <w:tcPr>
            <w:tcW w:w="37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2EAA5AF" w14:textId="77777777" w:rsidR="00F3287E" w:rsidRDefault="00F3287E">
            <w:pPr>
              <w:rPr>
                <w:rFonts w:ascii="Aptos Narrow" w:hAnsi="Aptos Narrow"/>
                <w:color w:val="000000"/>
              </w:rPr>
            </w:pPr>
            <w:r>
              <w:rPr>
                <w:rFonts w:ascii="Aptos Narrow" w:hAnsi="Aptos Narrow"/>
                <w:color w:val="000000"/>
              </w:rPr>
              <w:t>Total Dementia</w:t>
            </w:r>
          </w:p>
        </w:tc>
        <w:tc>
          <w:tcPr>
            <w:tcW w:w="178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EE3247C" w14:textId="64235CFE" w:rsidR="00F3287E" w:rsidRDefault="00F3287E">
            <w:pPr>
              <w:jc w:val="right"/>
              <w:rPr>
                <w:rFonts w:ascii="Aptos Narrow" w:hAnsi="Aptos Narrow"/>
                <w:color w:val="000000"/>
              </w:rPr>
            </w:pPr>
            <w:r>
              <w:rPr>
                <w:rFonts w:ascii="Aptos Narrow" w:hAnsi="Aptos Narrow"/>
                <w:color w:val="000000"/>
              </w:rPr>
              <w:t>11</w:t>
            </w:r>
            <w:r w:rsidR="00AD4932">
              <w:rPr>
                <w:rFonts w:ascii="Aptos Narrow" w:hAnsi="Aptos Narrow"/>
                <w:color w:val="000000"/>
              </w:rPr>
              <w:t>65</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AFB70E7" w14:textId="77777777" w:rsidR="00F3287E" w:rsidRDefault="00F3287E">
            <w:pPr>
              <w:jc w:val="right"/>
              <w:rPr>
                <w:rFonts w:ascii="Aptos Narrow" w:hAnsi="Aptos Narrow"/>
                <w:color w:val="000000"/>
              </w:rPr>
            </w:pPr>
            <w:r>
              <w:rPr>
                <w:rFonts w:ascii="Aptos Narrow" w:hAnsi="Aptos Narrow"/>
                <w:color w:val="000000"/>
              </w:rPr>
              <w:t>100.0%</w:t>
            </w:r>
          </w:p>
        </w:tc>
      </w:tr>
    </w:tbl>
    <w:p w14:paraId="6D8AFA74" w14:textId="77777777" w:rsidR="0065360C" w:rsidRPr="0007551D" w:rsidRDefault="0065360C" w:rsidP="0065360C">
      <w:pPr>
        <w:pStyle w:val="BodyText"/>
        <w:spacing w:line="276" w:lineRule="auto"/>
        <w:ind w:right="1435" w:firstLine="142"/>
        <w:jc w:val="both"/>
        <w:rPr>
          <w:i/>
          <w:sz w:val="18"/>
          <w:szCs w:val="22"/>
        </w:rPr>
      </w:pPr>
      <w:r>
        <w:rPr>
          <w:i/>
          <w:sz w:val="18"/>
          <w:szCs w:val="22"/>
        </w:rPr>
        <w:t xml:space="preserve">Table 1: Types of Dementia   </w:t>
      </w:r>
      <w:r w:rsidRPr="0007551D">
        <w:rPr>
          <w:i/>
          <w:sz w:val="18"/>
          <w:szCs w:val="22"/>
        </w:rPr>
        <w:t>Source: NHS England</w:t>
      </w:r>
      <w:r w:rsidRPr="0007551D">
        <w:rPr>
          <w:i/>
          <w:sz w:val="18"/>
          <w:szCs w:val="22"/>
          <w:vertAlign w:val="superscript"/>
        </w:rPr>
        <w:t xml:space="preserve">15 </w:t>
      </w:r>
    </w:p>
    <w:p w14:paraId="3744C92F" w14:textId="77777777" w:rsidR="00591A1D" w:rsidRDefault="00591A1D" w:rsidP="00AD24EE">
      <w:pPr>
        <w:pStyle w:val="BodyText"/>
        <w:spacing w:line="276" w:lineRule="auto"/>
        <w:ind w:right="1435" w:firstLine="142"/>
        <w:jc w:val="both"/>
        <w:rPr>
          <w:b/>
          <w:vertAlign w:val="superscript"/>
        </w:rPr>
      </w:pPr>
    </w:p>
    <w:p w14:paraId="38CCDB0D" w14:textId="04CC3B73" w:rsidR="00775841" w:rsidRDefault="008159E9" w:rsidP="00017F28">
      <w:pPr>
        <w:pStyle w:val="Heading2"/>
      </w:pPr>
      <w:bookmarkStart w:id="15" w:name="_Toc236218954"/>
      <w:r>
        <w:t>7</w:t>
      </w:r>
      <w:r w:rsidR="00775841" w:rsidRPr="00CB6EC2">
        <w:t>.</w:t>
      </w:r>
      <w:r w:rsidR="0064312F">
        <w:t>3</w:t>
      </w:r>
      <w:r w:rsidR="00775841" w:rsidRPr="00CB6EC2">
        <w:tab/>
      </w:r>
      <w:r w:rsidR="00775841">
        <w:t>Mild Cognitive Impairment</w:t>
      </w:r>
      <w:bookmarkEnd w:id="15"/>
    </w:p>
    <w:p w14:paraId="4BABDA9F" w14:textId="77777777" w:rsidR="00C63F1B" w:rsidRDefault="00C63F1B" w:rsidP="00775841">
      <w:pPr>
        <w:pStyle w:val="BodyText"/>
        <w:spacing w:line="276" w:lineRule="auto"/>
        <w:ind w:right="1435" w:firstLine="142"/>
        <w:jc w:val="both"/>
        <w:rPr>
          <w:b/>
        </w:rPr>
      </w:pPr>
    </w:p>
    <w:p w14:paraId="596C63F6" w14:textId="085F9E2B" w:rsidR="00C63F1B" w:rsidRPr="000F25B8" w:rsidRDefault="00C63F1B" w:rsidP="00FC6DC9">
      <w:pPr>
        <w:pStyle w:val="BodyText"/>
        <w:ind w:right="1435"/>
        <w:jc w:val="both"/>
        <w:rPr>
          <w:bCs/>
        </w:rPr>
      </w:pPr>
      <w:r w:rsidRPr="000F25B8">
        <w:rPr>
          <w:bCs/>
        </w:rPr>
        <w:t xml:space="preserve">Mild cognitive impairment is when a person </w:t>
      </w:r>
      <w:r w:rsidR="006C32B4" w:rsidRPr="000F25B8">
        <w:rPr>
          <w:bCs/>
        </w:rPr>
        <w:t xml:space="preserve">has started to </w:t>
      </w:r>
      <w:r w:rsidR="008D3891" w:rsidRPr="000F25B8">
        <w:rPr>
          <w:bCs/>
        </w:rPr>
        <w:t>have problems with</w:t>
      </w:r>
      <w:r w:rsidRPr="000F25B8">
        <w:rPr>
          <w:bCs/>
        </w:rPr>
        <w:t xml:space="preserve"> memory or thinking. It can be a sign</w:t>
      </w:r>
      <w:r w:rsidR="0051797F" w:rsidRPr="000F25B8">
        <w:rPr>
          <w:bCs/>
        </w:rPr>
        <w:t xml:space="preserve"> of disease</w:t>
      </w:r>
      <w:r w:rsidR="00867D72" w:rsidRPr="000F25B8">
        <w:rPr>
          <w:bCs/>
        </w:rPr>
        <w:t xml:space="preserve"> which could</w:t>
      </w:r>
      <w:r w:rsidRPr="000F25B8">
        <w:rPr>
          <w:bCs/>
        </w:rPr>
        <w:t xml:space="preserve"> cause dementia</w:t>
      </w:r>
      <w:r w:rsidR="00867D72" w:rsidRPr="000F25B8">
        <w:rPr>
          <w:bCs/>
        </w:rPr>
        <w:t>. Mild Cogn</w:t>
      </w:r>
      <w:r w:rsidR="00431042" w:rsidRPr="000F25B8">
        <w:rPr>
          <w:bCs/>
        </w:rPr>
        <w:t>i</w:t>
      </w:r>
      <w:r w:rsidR="00867D72" w:rsidRPr="000F25B8">
        <w:rPr>
          <w:bCs/>
        </w:rPr>
        <w:t>tive Impairment however i</w:t>
      </w:r>
      <w:r w:rsidRPr="000F25B8">
        <w:rPr>
          <w:bCs/>
        </w:rPr>
        <w:t xml:space="preserve">s not dementia and </w:t>
      </w:r>
      <w:r w:rsidR="00867D72" w:rsidRPr="000F25B8">
        <w:rPr>
          <w:bCs/>
        </w:rPr>
        <w:t xml:space="preserve">could be </w:t>
      </w:r>
      <w:r w:rsidRPr="000F25B8">
        <w:rPr>
          <w:bCs/>
        </w:rPr>
        <w:t xml:space="preserve">caused by other health </w:t>
      </w:r>
      <w:r w:rsidR="00431042" w:rsidRPr="000F25B8">
        <w:rPr>
          <w:bCs/>
        </w:rPr>
        <w:t>issues</w:t>
      </w:r>
      <w:r w:rsidRPr="000F25B8">
        <w:rPr>
          <w:bCs/>
        </w:rPr>
        <w:t>.</w:t>
      </w:r>
    </w:p>
    <w:p w14:paraId="7115AC99" w14:textId="77777777" w:rsidR="00B35D15" w:rsidRPr="000F25B8" w:rsidRDefault="00B35D15" w:rsidP="00FC6DC9">
      <w:pPr>
        <w:pStyle w:val="BodyText"/>
        <w:ind w:right="1435"/>
        <w:jc w:val="both"/>
        <w:rPr>
          <w:bCs/>
        </w:rPr>
      </w:pPr>
    </w:p>
    <w:p w14:paraId="66ABC0B3" w14:textId="61F810F7" w:rsidR="00B35D15" w:rsidRDefault="00C02F68" w:rsidP="00FC6DC9">
      <w:pPr>
        <w:pStyle w:val="BodyText"/>
        <w:ind w:right="1435"/>
        <w:jc w:val="both"/>
        <w:rPr>
          <w:bCs/>
        </w:rPr>
      </w:pPr>
      <w:r>
        <w:rPr>
          <w:bCs/>
        </w:rPr>
        <w:t xml:space="preserve">In February 2026, </w:t>
      </w:r>
      <w:r w:rsidR="00B35D15" w:rsidRPr="000F25B8">
        <w:rPr>
          <w:bCs/>
        </w:rPr>
        <w:t>Knowsley sub-ICB ha</w:t>
      </w:r>
      <w:r w:rsidR="00D26FFC">
        <w:rPr>
          <w:bCs/>
        </w:rPr>
        <w:t>d</w:t>
      </w:r>
      <w:r w:rsidR="00B35D15" w:rsidRPr="000F25B8">
        <w:rPr>
          <w:bCs/>
        </w:rPr>
        <w:t xml:space="preserve"> 6</w:t>
      </w:r>
      <w:r w:rsidR="00D26FFC">
        <w:rPr>
          <w:bCs/>
        </w:rPr>
        <w:t>4</w:t>
      </w:r>
      <w:r w:rsidR="00B35D15" w:rsidRPr="000F25B8">
        <w:rPr>
          <w:bCs/>
        </w:rPr>
        <w:t>0 people with Mild Cognitive Impairment</w:t>
      </w:r>
      <w:r w:rsidR="00C6245B" w:rsidRPr="000F25B8">
        <w:rPr>
          <w:bCs/>
        </w:rPr>
        <w:t xml:space="preserve">.  There are slightly more females than </w:t>
      </w:r>
      <w:r w:rsidR="00A41F4C" w:rsidRPr="000F25B8">
        <w:rPr>
          <w:bCs/>
        </w:rPr>
        <w:t xml:space="preserve">males in Knowsley with this </w:t>
      </w:r>
      <w:r w:rsidR="00154EA0" w:rsidRPr="000F25B8">
        <w:rPr>
          <w:bCs/>
        </w:rPr>
        <w:t>condition,</w:t>
      </w:r>
      <w:r w:rsidR="00A613ED" w:rsidRPr="000F25B8">
        <w:rPr>
          <w:bCs/>
        </w:rPr>
        <w:t xml:space="preserve"> but it</w:t>
      </w:r>
      <w:r w:rsidR="00D26FFC">
        <w:rPr>
          <w:bCs/>
        </w:rPr>
        <w:t xml:space="preserve"> is</w:t>
      </w:r>
      <w:r w:rsidR="00A613ED" w:rsidRPr="000F25B8">
        <w:rPr>
          <w:bCs/>
        </w:rPr>
        <w:t xml:space="preserve"> </w:t>
      </w:r>
      <w:r w:rsidR="00167279" w:rsidRPr="000F25B8">
        <w:rPr>
          <w:bCs/>
        </w:rPr>
        <w:t xml:space="preserve">nearly a 50% split.  Higher numbers can be seen in those aged </w:t>
      </w:r>
      <w:r w:rsidR="00C142D4" w:rsidRPr="000F25B8">
        <w:rPr>
          <w:bCs/>
        </w:rPr>
        <w:t xml:space="preserve">70 and over.  </w:t>
      </w:r>
      <w:r w:rsidR="009835B1" w:rsidRPr="000F25B8">
        <w:rPr>
          <w:bCs/>
        </w:rPr>
        <w:t xml:space="preserve">Around a quarter of people with Mild Cognitive Impairment </w:t>
      </w:r>
      <w:r w:rsidR="008A605A" w:rsidRPr="000F25B8">
        <w:rPr>
          <w:bCs/>
        </w:rPr>
        <w:t>are aged under 65.</w:t>
      </w:r>
    </w:p>
    <w:p w14:paraId="7F8D7621" w14:textId="77777777" w:rsidR="00431042" w:rsidRDefault="00431042" w:rsidP="00C63F1B">
      <w:pPr>
        <w:pStyle w:val="BodyText"/>
        <w:spacing w:line="276" w:lineRule="auto"/>
        <w:ind w:right="1435"/>
        <w:jc w:val="both"/>
        <w:rPr>
          <w:bCs/>
        </w:rPr>
      </w:pPr>
    </w:p>
    <w:p w14:paraId="72DDA618" w14:textId="457D0FAE" w:rsidR="000D40EC" w:rsidRPr="004719ED" w:rsidRDefault="000D40EC" w:rsidP="00C63F1B">
      <w:pPr>
        <w:pStyle w:val="BodyText"/>
        <w:spacing w:line="276" w:lineRule="auto"/>
        <w:ind w:right="1435"/>
        <w:jc w:val="both"/>
        <w:rPr>
          <w:b/>
        </w:rPr>
      </w:pPr>
      <w:r w:rsidRPr="004719ED">
        <w:rPr>
          <w:b/>
        </w:rPr>
        <w:t>Knowsley sub-ICB</w:t>
      </w:r>
      <w:r w:rsidR="00FD7F45" w:rsidRPr="004719ED">
        <w:rPr>
          <w:b/>
        </w:rPr>
        <w:t xml:space="preserve">, numbers of people with </w:t>
      </w:r>
      <w:r w:rsidR="004719ED" w:rsidRPr="004719ED">
        <w:rPr>
          <w:b/>
        </w:rPr>
        <w:t xml:space="preserve">Mild Cognitive Impairment, </w:t>
      </w:r>
      <w:r w:rsidR="00FB1F3C">
        <w:rPr>
          <w:b/>
        </w:rPr>
        <w:t>February</w:t>
      </w:r>
      <w:r w:rsidR="004719ED" w:rsidRPr="004719ED">
        <w:rPr>
          <w:b/>
        </w:rPr>
        <w:t xml:space="preserve"> 202</w:t>
      </w:r>
      <w:r w:rsidR="00FB1F3C">
        <w:rPr>
          <w:b/>
        </w:rPr>
        <w:t>6</w:t>
      </w:r>
      <w:r w:rsidR="00A755ED">
        <w:rPr>
          <w:b/>
        </w:rPr>
        <w:t>, aged 40 and above</w:t>
      </w:r>
    </w:p>
    <w:tbl>
      <w:tblPr>
        <w:tblW w:w="3300" w:type="dxa"/>
        <w:tblLook w:val="04A0" w:firstRow="1" w:lastRow="0" w:firstColumn="1" w:lastColumn="0" w:noHBand="0" w:noVBand="1"/>
      </w:tblPr>
      <w:tblGrid>
        <w:gridCol w:w="1600"/>
        <w:gridCol w:w="869"/>
        <w:gridCol w:w="643"/>
        <w:gridCol w:w="649"/>
      </w:tblGrid>
      <w:tr w:rsidR="00C02F68" w:rsidRPr="00C02F68" w14:paraId="75B187FB" w14:textId="77777777" w:rsidTr="00C02F68">
        <w:trPr>
          <w:trHeight w:val="290"/>
        </w:trPr>
        <w:tc>
          <w:tcPr>
            <w:tcW w:w="1480" w:type="dxa"/>
            <w:tcBorders>
              <w:top w:val="single" w:sz="4" w:space="0" w:color="auto"/>
              <w:left w:val="single" w:sz="4" w:space="0" w:color="auto"/>
              <w:bottom w:val="single" w:sz="4" w:space="0" w:color="auto"/>
              <w:right w:val="single" w:sz="4" w:space="0" w:color="auto"/>
            </w:tcBorders>
            <w:noWrap/>
            <w:vAlign w:val="bottom"/>
            <w:hideMark/>
          </w:tcPr>
          <w:p w14:paraId="77C7EB7B"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Measure</w:t>
            </w:r>
          </w:p>
        </w:tc>
        <w:tc>
          <w:tcPr>
            <w:tcW w:w="760" w:type="dxa"/>
            <w:tcBorders>
              <w:top w:val="single" w:sz="4" w:space="0" w:color="auto"/>
              <w:left w:val="nil"/>
              <w:bottom w:val="single" w:sz="4" w:space="0" w:color="auto"/>
              <w:right w:val="single" w:sz="4" w:space="0" w:color="auto"/>
            </w:tcBorders>
            <w:noWrap/>
            <w:vAlign w:val="bottom"/>
            <w:hideMark/>
          </w:tcPr>
          <w:p w14:paraId="4BA1C1AC"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Female</w:t>
            </w:r>
          </w:p>
        </w:tc>
        <w:tc>
          <w:tcPr>
            <w:tcW w:w="520" w:type="dxa"/>
            <w:tcBorders>
              <w:top w:val="single" w:sz="4" w:space="0" w:color="auto"/>
              <w:left w:val="nil"/>
              <w:bottom w:val="single" w:sz="4" w:space="0" w:color="auto"/>
              <w:right w:val="single" w:sz="4" w:space="0" w:color="auto"/>
            </w:tcBorders>
            <w:noWrap/>
            <w:vAlign w:val="bottom"/>
            <w:hideMark/>
          </w:tcPr>
          <w:p w14:paraId="178FC438"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Male</w:t>
            </w:r>
          </w:p>
        </w:tc>
        <w:tc>
          <w:tcPr>
            <w:tcW w:w="540" w:type="dxa"/>
            <w:tcBorders>
              <w:top w:val="single" w:sz="4" w:space="0" w:color="auto"/>
              <w:left w:val="nil"/>
              <w:bottom w:val="single" w:sz="4" w:space="0" w:color="auto"/>
              <w:right w:val="single" w:sz="4" w:space="0" w:color="auto"/>
            </w:tcBorders>
            <w:noWrap/>
            <w:vAlign w:val="bottom"/>
            <w:hideMark/>
          </w:tcPr>
          <w:p w14:paraId="01675EEE"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Total</w:t>
            </w:r>
          </w:p>
        </w:tc>
      </w:tr>
      <w:tr w:rsidR="00C02F68" w:rsidRPr="00C02F68" w14:paraId="0E31B65F" w14:textId="77777777" w:rsidTr="00C02F68">
        <w:trPr>
          <w:trHeight w:val="290"/>
        </w:trPr>
        <w:tc>
          <w:tcPr>
            <w:tcW w:w="1480" w:type="dxa"/>
            <w:tcBorders>
              <w:top w:val="nil"/>
              <w:left w:val="single" w:sz="4" w:space="0" w:color="auto"/>
              <w:bottom w:val="single" w:sz="4" w:space="0" w:color="auto"/>
              <w:right w:val="single" w:sz="4" w:space="0" w:color="auto"/>
            </w:tcBorders>
            <w:noWrap/>
            <w:vAlign w:val="bottom"/>
            <w:hideMark/>
          </w:tcPr>
          <w:p w14:paraId="36BA98E1"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AGED_40_44</w:t>
            </w:r>
          </w:p>
        </w:tc>
        <w:tc>
          <w:tcPr>
            <w:tcW w:w="760" w:type="dxa"/>
            <w:tcBorders>
              <w:top w:val="nil"/>
              <w:left w:val="nil"/>
              <w:bottom w:val="single" w:sz="4" w:space="0" w:color="auto"/>
              <w:right w:val="single" w:sz="4" w:space="0" w:color="auto"/>
            </w:tcBorders>
            <w:noWrap/>
            <w:vAlign w:val="bottom"/>
            <w:hideMark/>
          </w:tcPr>
          <w:p w14:paraId="2F87B5F3"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5</w:t>
            </w:r>
          </w:p>
        </w:tc>
        <w:tc>
          <w:tcPr>
            <w:tcW w:w="520" w:type="dxa"/>
            <w:tcBorders>
              <w:top w:val="nil"/>
              <w:left w:val="nil"/>
              <w:bottom w:val="single" w:sz="4" w:space="0" w:color="auto"/>
              <w:right w:val="single" w:sz="4" w:space="0" w:color="auto"/>
            </w:tcBorders>
            <w:noWrap/>
            <w:vAlign w:val="bottom"/>
            <w:hideMark/>
          </w:tcPr>
          <w:p w14:paraId="045BE653"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5</w:t>
            </w:r>
          </w:p>
        </w:tc>
        <w:tc>
          <w:tcPr>
            <w:tcW w:w="540" w:type="dxa"/>
            <w:tcBorders>
              <w:top w:val="nil"/>
              <w:left w:val="nil"/>
              <w:bottom w:val="single" w:sz="4" w:space="0" w:color="auto"/>
              <w:right w:val="single" w:sz="4" w:space="0" w:color="auto"/>
            </w:tcBorders>
            <w:noWrap/>
            <w:vAlign w:val="bottom"/>
            <w:hideMark/>
          </w:tcPr>
          <w:p w14:paraId="549FB6B9"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10</w:t>
            </w:r>
          </w:p>
        </w:tc>
      </w:tr>
      <w:tr w:rsidR="00C02F68" w:rsidRPr="00C02F68" w14:paraId="75E63B78" w14:textId="77777777" w:rsidTr="00C02F68">
        <w:trPr>
          <w:trHeight w:val="290"/>
        </w:trPr>
        <w:tc>
          <w:tcPr>
            <w:tcW w:w="1480" w:type="dxa"/>
            <w:tcBorders>
              <w:top w:val="nil"/>
              <w:left w:val="single" w:sz="4" w:space="0" w:color="auto"/>
              <w:bottom w:val="single" w:sz="4" w:space="0" w:color="auto"/>
              <w:right w:val="single" w:sz="4" w:space="0" w:color="auto"/>
            </w:tcBorders>
            <w:noWrap/>
            <w:vAlign w:val="bottom"/>
            <w:hideMark/>
          </w:tcPr>
          <w:p w14:paraId="242E01DA"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AGED_50_54</w:t>
            </w:r>
          </w:p>
        </w:tc>
        <w:tc>
          <w:tcPr>
            <w:tcW w:w="760" w:type="dxa"/>
            <w:tcBorders>
              <w:top w:val="nil"/>
              <w:left w:val="nil"/>
              <w:bottom w:val="single" w:sz="4" w:space="0" w:color="auto"/>
              <w:right w:val="single" w:sz="4" w:space="0" w:color="auto"/>
            </w:tcBorders>
            <w:noWrap/>
            <w:vAlign w:val="bottom"/>
            <w:hideMark/>
          </w:tcPr>
          <w:p w14:paraId="1409C989"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15</w:t>
            </w:r>
          </w:p>
        </w:tc>
        <w:tc>
          <w:tcPr>
            <w:tcW w:w="520" w:type="dxa"/>
            <w:tcBorders>
              <w:top w:val="nil"/>
              <w:left w:val="nil"/>
              <w:bottom w:val="single" w:sz="4" w:space="0" w:color="auto"/>
              <w:right w:val="single" w:sz="4" w:space="0" w:color="auto"/>
            </w:tcBorders>
            <w:noWrap/>
            <w:vAlign w:val="bottom"/>
            <w:hideMark/>
          </w:tcPr>
          <w:p w14:paraId="56854F3B"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10</w:t>
            </w:r>
          </w:p>
        </w:tc>
        <w:tc>
          <w:tcPr>
            <w:tcW w:w="540" w:type="dxa"/>
            <w:tcBorders>
              <w:top w:val="nil"/>
              <w:left w:val="nil"/>
              <w:bottom w:val="single" w:sz="4" w:space="0" w:color="auto"/>
              <w:right w:val="single" w:sz="4" w:space="0" w:color="auto"/>
            </w:tcBorders>
            <w:noWrap/>
            <w:vAlign w:val="bottom"/>
            <w:hideMark/>
          </w:tcPr>
          <w:p w14:paraId="533D68B1"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25</w:t>
            </w:r>
          </w:p>
        </w:tc>
      </w:tr>
      <w:tr w:rsidR="00C02F68" w:rsidRPr="00C02F68" w14:paraId="6C70FC31" w14:textId="77777777" w:rsidTr="00C02F68">
        <w:trPr>
          <w:trHeight w:val="290"/>
        </w:trPr>
        <w:tc>
          <w:tcPr>
            <w:tcW w:w="1480" w:type="dxa"/>
            <w:tcBorders>
              <w:top w:val="nil"/>
              <w:left w:val="single" w:sz="4" w:space="0" w:color="auto"/>
              <w:bottom w:val="single" w:sz="4" w:space="0" w:color="auto"/>
              <w:right w:val="single" w:sz="4" w:space="0" w:color="auto"/>
            </w:tcBorders>
            <w:noWrap/>
            <w:vAlign w:val="bottom"/>
            <w:hideMark/>
          </w:tcPr>
          <w:p w14:paraId="1C845D63"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AGED_45_49</w:t>
            </w:r>
          </w:p>
        </w:tc>
        <w:tc>
          <w:tcPr>
            <w:tcW w:w="760" w:type="dxa"/>
            <w:tcBorders>
              <w:top w:val="nil"/>
              <w:left w:val="nil"/>
              <w:bottom w:val="single" w:sz="4" w:space="0" w:color="auto"/>
              <w:right w:val="single" w:sz="4" w:space="0" w:color="auto"/>
            </w:tcBorders>
            <w:noWrap/>
            <w:vAlign w:val="bottom"/>
            <w:hideMark/>
          </w:tcPr>
          <w:p w14:paraId="1CFF5CEF"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10</w:t>
            </w:r>
          </w:p>
        </w:tc>
        <w:tc>
          <w:tcPr>
            <w:tcW w:w="520" w:type="dxa"/>
            <w:tcBorders>
              <w:top w:val="nil"/>
              <w:left w:val="nil"/>
              <w:bottom w:val="single" w:sz="4" w:space="0" w:color="auto"/>
              <w:right w:val="single" w:sz="4" w:space="0" w:color="auto"/>
            </w:tcBorders>
            <w:noWrap/>
            <w:vAlign w:val="bottom"/>
            <w:hideMark/>
          </w:tcPr>
          <w:p w14:paraId="0B9CF89F"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10</w:t>
            </w:r>
          </w:p>
        </w:tc>
        <w:tc>
          <w:tcPr>
            <w:tcW w:w="540" w:type="dxa"/>
            <w:tcBorders>
              <w:top w:val="nil"/>
              <w:left w:val="nil"/>
              <w:bottom w:val="single" w:sz="4" w:space="0" w:color="auto"/>
              <w:right w:val="single" w:sz="4" w:space="0" w:color="auto"/>
            </w:tcBorders>
            <w:noWrap/>
            <w:vAlign w:val="bottom"/>
            <w:hideMark/>
          </w:tcPr>
          <w:p w14:paraId="1FFA9D4B"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20</w:t>
            </w:r>
          </w:p>
        </w:tc>
      </w:tr>
      <w:tr w:rsidR="00C02F68" w:rsidRPr="00C02F68" w14:paraId="468FF164" w14:textId="77777777" w:rsidTr="00C02F68">
        <w:trPr>
          <w:trHeight w:val="290"/>
        </w:trPr>
        <w:tc>
          <w:tcPr>
            <w:tcW w:w="1480" w:type="dxa"/>
            <w:tcBorders>
              <w:top w:val="nil"/>
              <w:left w:val="single" w:sz="4" w:space="0" w:color="auto"/>
              <w:bottom w:val="single" w:sz="4" w:space="0" w:color="auto"/>
              <w:right w:val="single" w:sz="4" w:space="0" w:color="auto"/>
            </w:tcBorders>
            <w:noWrap/>
            <w:vAlign w:val="bottom"/>
            <w:hideMark/>
          </w:tcPr>
          <w:p w14:paraId="4587DB9C"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AGED_55_59</w:t>
            </w:r>
          </w:p>
        </w:tc>
        <w:tc>
          <w:tcPr>
            <w:tcW w:w="760" w:type="dxa"/>
            <w:tcBorders>
              <w:top w:val="nil"/>
              <w:left w:val="nil"/>
              <w:bottom w:val="single" w:sz="4" w:space="0" w:color="auto"/>
              <w:right w:val="single" w:sz="4" w:space="0" w:color="auto"/>
            </w:tcBorders>
            <w:noWrap/>
            <w:vAlign w:val="bottom"/>
            <w:hideMark/>
          </w:tcPr>
          <w:p w14:paraId="0800DA99"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30</w:t>
            </w:r>
          </w:p>
        </w:tc>
        <w:tc>
          <w:tcPr>
            <w:tcW w:w="520" w:type="dxa"/>
            <w:tcBorders>
              <w:top w:val="nil"/>
              <w:left w:val="nil"/>
              <w:bottom w:val="single" w:sz="4" w:space="0" w:color="auto"/>
              <w:right w:val="single" w:sz="4" w:space="0" w:color="auto"/>
            </w:tcBorders>
            <w:noWrap/>
            <w:vAlign w:val="bottom"/>
            <w:hideMark/>
          </w:tcPr>
          <w:p w14:paraId="23CEDAC7"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25</w:t>
            </w:r>
          </w:p>
        </w:tc>
        <w:tc>
          <w:tcPr>
            <w:tcW w:w="540" w:type="dxa"/>
            <w:tcBorders>
              <w:top w:val="nil"/>
              <w:left w:val="nil"/>
              <w:bottom w:val="single" w:sz="4" w:space="0" w:color="auto"/>
              <w:right w:val="single" w:sz="4" w:space="0" w:color="auto"/>
            </w:tcBorders>
            <w:noWrap/>
            <w:vAlign w:val="bottom"/>
            <w:hideMark/>
          </w:tcPr>
          <w:p w14:paraId="51ABCACD"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55</w:t>
            </w:r>
          </w:p>
        </w:tc>
      </w:tr>
      <w:tr w:rsidR="00C02F68" w:rsidRPr="00C02F68" w14:paraId="3ED7B1B7" w14:textId="77777777" w:rsidTr="00C02F68">
        <w:trPr>
          <w:trHeight w:val="290"/>
        </w:trPr>
        <w:tc>
          <w:tcPr>
            <w:tcW w:w="1480" w:type="dxa"/>
            <w:tcBorders>
              <w:top w:val="nil"/>
              <w:left w:val="single" w:sz="4" w:space="0" w:color="auto"/>
              <w:bottom w:val="single" w:sz="4" w:space="0" w:color="auto"/>
              <w:right w:val="single" w:sz="4" w:space="0" w:color="auto"/>
            </w:tcBorders>
            <w:noWrap/>
            <w:vAlign w:val="bottom"/>
            <w:hideMark/>
          </w:tcPr>
          <w:p w14:paraId="1B2C57C8"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AGED_60_64</w:t>
            </w:r>
          </w:p>
        </w:tc>
        <w:tc>
          <w:tcPr>
            <w:tcW w:w="760" w:type="dxa"/>
            <w:tcBorders>
              <w:top w:val="nil"/>
              <w:left w:val="nil"/>
              <w:bottom w:val="single" w:sz="4" w:space="0" w:color="auto"/>
              <w:right w:val="single" w:sz="4" w:space="0" w:color="auto"/>
            </w:tcBorders>
            <w:noWrap/>
            <w:vAlign w:val="bottom"/>
            <w:hideMark/>
          </w:tcPr>
          <w:p w14:paraId="0F304DF4"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35</w:t>
            </w:r>
          </w:p>
        </w:tc>
        <w:tc>
          <w:tcPr>
            <w:tcW w:w="520" w:type="dxa"/>
            <w:tcBorders>
              <w:top w:val="nil"/>
              <w:left w:val="nil"/>
              <w:bottom w:val="single" w:sz="4" w:space="0" w:color="auto"/>
              <w:right w:val="single" w:sz="4" w:space="0" w:color="auto"/>
            </w:tcBorders>
            <w:noWrap/>
            <w:vAlign w:val="bottom"/>
            <w:hideMark/>
          </w:tcPr>
          <w:p w14:paraId="4B2B4941"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30</w:t>
            </w:r>
          </w:p>
        </w:tc>
        <w:tc>
          <w:tcPr>
            <w:tcW w:w="540" w:type="dxa"/>
            <w:tcBorders>
              <w:top w:val="nil"/>
              <w:left w:val="nil"/>
              <w:bottom w:val="single" w:sz="4" w:space="0" w:color="auto"/>
              <w:right w:val="single" w:sz="4" w:space="0" w:color="auto"/>
            </w:tcBorders>
            <w:noWrap/>
            <w:vAlign w:val="bottom"/>
            <w:hideMark/>
          </w:tcPr>
          <w:p w14:paraId="56A6249E"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65</w:t>
            </w:r>
          </w:p>
        </w:tc>
      </w:tr>
      <w:tr w:rsidR="00C02F68" w:rsidRPr="00C02F68" w14:paraId="278A4A4D" w14:textId="77777777" w:rsidTr="00C02F68">
        <w:trPr>
          <w:trHeight w:val="290"/>
        </w:trPr>
        <w:tc>
          <w:tcPr>
            <w:tcW w:w="1480" w:type="dxa"/>
            <w:tcBorders>
              <w:top w:val="nil"/>
              <w:left w:val="single" w:sz="4" w:space="0" w:color="auto"/>
              <w:bottom w:val="single" w:sz="4" w:space="0" w:color="auto"/>
              <w:right w:val="single" w:sz="4" w:space="0" w:color="auto"/>
            </w:tcBorders>
            <w:noWrap/>
            <w:vAlign w:val="bottom"/>
            <w:hideMark/>
          </w:tcPr>
          <w:p w14:paraId="73C99E08"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AGED_65_69</w:t>
            </w:r>
          </w:p>
        </w:tc>
        <w:tc>
          <w:tcPr>
            <w:tcW w:w="760" w:type="dxa"/>
            <w:tcBorders>
              <w:top w:val="nil"/>
              <w:left w:val="nil"/>
              <w:bottom w:val="single" w:sz="4" w:space="0" w:color="auto"/>
              <w:right w:val="single" w:sz="4" w:space="0" w:color="auto"/>
            </w:tcBorders>
            <w:noWrap/>
            <w:vAlign w:val="bottom"/>
            <w:hideMark/>
          </w:tcPr>
          <w:p w14:paraId="18C08FF8"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60</w:t>
            </w:r>
          </w:p>
        </w:tc>
        <w:tc>
          <w:tcPr>
            <w:tcW w:w="520" w:type="dxa"/>
            <w:tcBorders>
              <w:top w:val="nil"/>
              <w:left w:val="nil"/>
              <w:bottom w:val="single" w:sz="4" w:space="0" w:color="auto"/>
              <w:right w:val="single" w:sz="4" w:space="0" w:color="auto"/>
            </w:tcBorders>
            <w:noWrap/>
            <w:vAlign w:val="bottom"/>
            <w:hideMark/>
          </w:tcPr>
          <w:p w14:paraId="2E5FE8B3"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45</w:t>
            </w:r>
          </w:p>
        </w:tc>
        <w:tc>
          <w:tcPr>
            <w:tcW w:w="540" w:type="dxa"/>
            <w:tcBorders>
              <w:top w:val="nil"/>
              <w:left w:val="nil"/>
              <w:bottom w:val="single" w:sz="4" w:space="0" w:color="auto"/>
              <w:right w:val="single" w:sz="4" w:space="0" w:color="auto"/>
            </w:tcBorders>
            <w:noWrap/>
            <w:vAlign w:val="bottom"/>
            <w:hideMark/>
          </w:tcPr>
          <w:p w14:paraId="306ED912"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105</w:t>
            </w:r>
          </w:p>
        </w:tc>
      </w:tr>
      <w:tr w:rsidR="00C02F68" w:rsidRPr="00C02F68" w14:paraId="3C2A2262" w14:textId="77777777" w:rsidTr="00C02F68">
        <w:trPr>
          <w:trHeight w:val="290"/>
        </w:trPr>
        <w:tc>
          <w:tcPr>
            <w:tcW w:w="1480" w:type="dxa"/>
            <w:tcBorders>
              <w:top w:val="nil"/>
              <w:left w:val="single" w:sz="4" w:space="0" w:color="auto"/>
              <w:bottom w:val="single" w:sz="4" w:space="0" w:color="auto"/>
              <w:right w:val="single" w:sz="4" w:space="0" w:color="auto"/>
            </w:tcBorders>
            <w:noWrap/>
            <w:vAlign w:val="bottom"/>
            <w:hideMark/>
          </w:tcPr>
          <w:p w14:paraId="7F513FBD"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AGED_70_74</w:t>
            </w:r>
          </w:p>
        </w:tc>
        <w:tc>
          <w:tcPr>
            <w:tcW w:w="760" w:type="dxa"/>
            <w:tcBorders>
              <w:top w:val="nil"/>
              <w:left w:val="nil"/>
              <w:bottom w:val="single" w:sz="4" w:space="0" w:color="auto"/>
              <w:right w:val="single" w:sz="4" w:space="0" w:color="auto"/>
            </w:tcBorders>
            <w:noWrap/>
            <w:vAlign w:val="bottom"/>
            <w:hideMark/>
          </w:tcPr>
          <w:p w14:paraId="6B0738B5"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40</w:t>
            </w:r>
          </w:p>
        </w:tc>
        <w:tc>
          <w:tcPr>
            <w:tcW w:w="520" w:type="dxa"/>
            <w:tcBorders>
              <w:top w:val="nil"/>
              <w:left w:val="nil"/>
              <w:bottom w:val="single" w:sz="4" w:space="0" w:color="auto"/>
              <w:right w:val="single" w:sz="4" w:space="0" w:color="auto"/>
            </w:tcBorders>
            <w:noWrap/>
            <w:vAlign w:val="bottom"/>
            <w:hideMark/>
          </w:tcPr>
          <w:p w14:paraId="0F176C1F"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45</w:t>
            </w:r>
          </w:p>
        </w:tc>
        <w:tc>
          <w:tcPr>
            <w:tcW w:w="540" w:type="dxa"/>
            <w:tcBorders>
              <w:top w:val="nil"/>
              <w:left w:val="nil"/>
              <w:bottom w:val="single" w:sz="4" w:space="0" w:color="auto"/>
              <w:right w:val="single" w:sz="4" w:space="0" w:color="auto"/>
            </w:tcBorders>
            <w:noWrap/>
            <w:vAlign w:val="bottom"/>
            <w:hideMark/>
          </w:tcPr>
          <w:p w14:paraId="109B9830"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85</w:t>
            </w:r>
          </w:p>
        </w:tc>
      </w:tr>
      <w:tr w:rsidR="00C02F68" w:rsidRPr="00C02F68" w14:paraId="33C9A5CF" w14:textId="77777777" w:rsidTr="00C02F68">
        <w:trPr>
          <w:trHeight w:val="290"/>
        </w:trPr>
        <w:tc>
          <w:tcPr>
            <w:tcW w:w="1480" w:type="dxa"/>
            <w:tcBorders>
              <w:top w:val="nil"/>
              <w:left w:val="single" w:sz="4" w:space="0" w:color="auto"/>
              <w:bottom w:val="single" w:sz="4" w:space="0" w:color="auto"/>
              <w:right w:val="single" w:sz="4" w:space="0" w:color="auto"/>
            </w:tcBorders>
            <w:noWrap/>
            <w:vAlign w:val="bottom"/>
            <w:hideMark/>
          </w:tcPr>
          <w:p w14:paraId="3775E53D"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AGED_75_79</w:t>
            </w:r>
          </w:p>
        </w:tc>
        <w:tc>
          <w:tcPr>
            <w:tcW w:w="760" w:type="dxa"/>
            <w:tcBorders>
              <w:top w:val="nil"/>
              <w:left w:val="nil"/>
              <w:bottom w:val="single" w:sz="4" w:space="0" w:color="auto"/>
              <w:right w:val="single" w:sz="4" w:space="0" w:color="auto"/>
            </w:tcBorders>
            <w:noWrap/>
            <w:vAlign w:val="bottom"/>
            <w:hideMark/>
          </w:tcPr>
          <w:p w14:paraId="40E8349E"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45</w:t>
            </w:r>
          </w:p>
        </w:tc>
        <w:tc>
          <w:tcPr>
            <w:tcW w:w="520" w:type="dxa"/>
            <w:tcBorders>
              <w:top w:val="nil"/>
              <w:left w:val="nil"/>
              <w:bottom w:val="single" w:sz="4" w:space="0" w:color="auto"/>
              <w:right w:val="single" w:sz="4" w:space="0" w:color="auto"/>
            </w:tcBorders>
            <w:noWrap/>
            <w:vAlign w:val="bottom"/>
            <w:hideMark/>
          </w:tcPr>
          <w:p w14:paraId="27377AF9"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45</w:t>
            </w:r>
          </w:p>
        </w:tc>
        <w:tc>
          <w:tcPr>
            <w:tcW w:w="540" w:type="dxa"/>
            <w:tcBorders>
              <w:top w:val="nil"/>
              <w:left w:val="nil"/>
              <w:bottom w:val="single" w:sz="4" w:space="0" w:color="auto"/>
              <w:right w:val="single" w:sz="4" w:space="0" w:color="auto"/>
            </w:tcBorders>
            <w:noWrap/>
            <w:vAlign w:val="bottom"/>
            <w:hideMark/>
          </w:tcPr>
          <w:p w14:paraId="167579AD"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90</w:t>
            </w:r>
          </w:p>
        </w:tc>
      </w:tr>
      <w:tr w:rsidR="00C02F68" w:rsidRPr="00C02F68" w14:paraId="21EFA643" w14:textId="77777777" w:rsidTr="00C02F68">
        <w:trPr>
          <w:trHeight w:val="290"/>
        </w:trPr>
        <w:tc>
          <w:tcPr>
            <w:tcW w:w="1480" w:type="dxa"/>
            <w:tcBorders>
              <w:top w:val="nil"/>
              <w:left w:val="single" w:sz="4" w:space="0" w:color="auto"/>
              <w:bottom w:val="single" w:sz="4" w:space="0" w:color="auto"/>
              <w:right w:val="single" w:sz="4" w:space="0" w:color="auto"/>
            </w:tcBorders>
            <w:noWrap/>
            <w:vAlign w:val="bottom"/>
            <w:hideMark/>
          </w:tcPr>
          <w:p w14:paraId="59EAC65F"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AGED_80_84</w:t>
            </w:r>
          </w:p>
        </w:tc>
        <w:tc>
          <w:tcPr>
            <w:tcW w:w="760" w:type="dxa"/>
            <w:tcBorders>
              <w:top w:val="nil"/>
              <w:left w:val="nil"/>
              <w:bottom w:val="single" w:sz="4" w:space="0" w:color="auto"/>
              <w:right w:val="single" w:sz="4" w:space="0" w:color="auto"/>
            </w:tcBorders>
            <w:noWrap/>
            <w:vAlign w:val="bottom"/>
            <w:hideMark/>
          </w:tcPr>
          <w:p w14:paraId="1EC911FD"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50</w:t>
            </w:r>
          </w:p>
        </w:tc>
        <w:tc>
          <w:tcPr>
            <w:tcW w:w="520" w:type="dxa"/>
            <w:tcBorders>
              <w:top w:val="nil"/>
              <w:left w:val="nil"/>
              <w:bottom w:val="single" w:sz="4" w:space="0" w:color="auto"/>
              <w:right w:val="single" w:sz="4" w:space="0" w:color="auto"/>
            </w:tcBorders>
            <w:noWrap/>
            <w:vAlign w:val="bottom"/>
            <w:hideMark/>
          </w:tcPr>
          <w:p w14:paraId="22C3EAD5"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40</w:t>
            </w:r>
          </w:p>
        </w:tc>
        <w:tc>
          <w:tcPr>
            <w:tcW w:w="540" w:type="dxa"/>
            <w:tcBorders>
              <w:top w:val="nil"/>
              <w:left w:val="nil"/>
              <w:bottom w:val="single" w:sz="4" w:space="0" w:color="auto"/>
              <w:right w:val="single" w:sz="4" w:space="0" w:color="auto"/>
            </w:tcBorders>
            <w:noWrap/>
            <w:vAlign w:val="bottom"/>
            <w:hideMark/>
          </w:tcPr>
          <w:p w14:paraId="5114B1A3"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90</w:t>
            </w:r>
          </w:p>
        </w:tc>
      </w:tr>
      <w:tr w:rsidR="00C02F68" w:rsidRPr="00C02F68" w14:paraId="24EA489B" w14:textId="77777777" w:rsidTr="00C02F68">
        <w:trPr>
          <w:trHeight w:val="290"/>
        </w:trPr>
        <w:tc>
          <w:tcPr>
            <w:tcW w:w="1480" w:type="dxa"/>
            <w:tcBorders>
              <w:top w:val="nil"/>
              <w:left w:val="single" w:sz="4" w:space="0" w:color="auto"/>
              <w:bottom w:val="single" w:sz="4" w:space="0" w:color="auto"/>
              <w:right w:val="single" w:sz="4" w:space="0" w:color="auto"/>
            </w:tcBorders>
            <w:noWrap/>
            <w:vAlign w:val="bottom"/>
            <w:hideMark/>
          </w:tcPr>
          <w:p w14:paraId="01CA2F56"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AGED_85_89</w:t>
            </w:r>
          </w:p>
        </w:tc>
        <w:tc>
          <w:tcPr>
            <w:tcW w:w="760" w:type="dxa"/>
            <w:tcBorders>
              <w:top w:val="nil"/>
              <w:left w:val="nil"/>
              <w:bottom w:val="single" w:sz="4" w:space="0" w:color="auto"/>
              <w:right w:val="single" w:sz="4" w:space="0" w:color="auto"/>
            </w:tcBorders>
            <w:noWrap/>
            <w:vAlign w:val="bottom"/>
            <w:hideMark/>
          </w:tcPr>
          <w:p w14:paraId="4486A54C"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40</w:t>
            </w:r>
          </w:p>
        </w:tc>
        <w:tc>
          <w:tcPr>
            <w:tcW w:w="520" w:type="dxa"/>
            <w:tcBorders>
              <w:top w:val="nil"/>
              <w:left w:val="nil"/>
              <w:bottom w:val="single" w:sz="4" w:space="0" w:color="auto"/>
              <w:right w:val="single" w:sz="4" w:space="0" w:color="auto"/>
            </w:tcBorders>
            <w:noWrap/>
            <w:vAlign w:val="bottom"/>
            <w:hideMark/>
          </w:tcPr>
          <w:p w14:paraId="7C803125"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25</w:t>
            </w:r>
          </w:p>
        </w:tc>
        <w:tc>
          <w:tcPr>
            <w:tcW w:w="540" w:type="dxa"/>
            <w:tcBorders>
              <w:top w:val="nil"/>
              <w:left w:val="nil"/>
              <w:bottom w:val="single" w:sz="4" w:space="0" w:color="auto"/>
              <w:right w:val="single" w:sz="4" w:space="0" w:color="auto"/>
            </w:tcBorders>
            <w:noWrap/>
            <w:vAlign w:val="bottom"/>
            <w:hideMark/>
          </w:tcPr>
          <w:p w14:paraId="5CEA55CC"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65</w:t>
            </w:r>
          </w:p>
        </w:tc>
      </w:tr>
      <w:tr w:rsidR="00C02F68" w:rsidRPr="00C02F68" w14:paraId="33CC3D23" w14:textId="77777777" w:rsidTr="00C02F68">
        <w:trPr>
          <w:trHeight w:val="290"/>
        </w:trPr>
        <w:tc>
          <w:tcPr>
            <w:tcW w:w="1480" w:type="dxa"/>
            <w:tcBorders>
              <w:top w:val="nil"/>
              <w:left w:val="single" w:sz="4" w:space="0" w:color="auto"/>
              <w:bottom w:val="single" w:sz="4" w:space="0" w:color="auto"/>
              <w:right w:val="single" w:sz="4" w:space="0" w:color="auto"/>
            </w:tcBorders>
            <w:noWrap/>
            <w:vAlign w:val="bottom"/>
            <w:hideMark/>
          </w:tcPr>
          <w:p w14:paraId="4AF01F73"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AGED_90_PLUS</w:t>
            </w:r>
          </w:p>
        </w:tc>
        <w:tc>
          <w:tcPr>
            <w:tcW w:w="760" w:type="dxa"/>
            <w:tcBorders>
              <w:top w:val="nil"/>
              <w:left w:val="nil"/>
              <w:bottom w:val="single" w:sz="4" w:space="0" w:color="auto"/>
              <w:right w:val="single" w:sz="4" w:space="0" w:color="auto"/>
            </w:tcBorders>
            <w:noWrap/>
            <w:vAlign w:val="bottom"/>
            <w:hideMark/>
          </w:tcPr>
          <w:p w14:paraId="78F36101"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20</w:t>
            </w:r>
          </w:p>
        </w:tc>
        <w:tc>
          <w:tcPr>
            <w:tcW w:w="520" w:type="dxa"/>
            <w:tcBorders>
              <w:top w:val="nil"/>
              <w:left w:val="nil"/>
              <w:bottom w:val="single" w:sz="4" w:space="0" w:color="auto"/>
              <w:right w:val="single" w:sz="4" w:space="0" w:color="auto"/>
            </w:tcBorders>
            <w:noWrap/>
            <w:vAlign w:val="bottom"/>
            <w:hideMark/>
          </w:tcPr>
          <w:p w14:paraId="2BDD6896"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10</w:t>
            </w:r>
          </w:p>
        </w:tc>
        <w:tc>
          <w:tcPr>
            <w:tcW w:w="540" w:type="dxa"/>
            <w:tcBorders>
              <w:top w:val="nil"/>
              <w:left w:val="nil"/>
              <w:bottom w:val="single" w:sz="4" w:space="0" w:color="auto"/>
              <w:right w:val="single" w:sz="4" w:space="0" w:color="auto"/>
            </w:tcBorders>
            <w:noWrap/>
            <w:vAlign w:val="bottom"/>
            <w:hideMark/>
          </w:tcPr>
          <w:p w14:paraId="68021AD5"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30</w:t>
            </w:r>
          </w:p>
        </w:tc>
      </w:tr>
      <w:tr w:rsidR="00C02F68" w:rsidRPr="00C02F68" w14:paraId="6196D975" w14:textId="77777777" w:rsidTr="00C02F68">
        <w:trPr>
          <w:trHeight w:val="290"/>
        </w:trPr>
        <w:tc>
          <w:tcPr>
            <w:tcW w:w="1480" w:type="dxa"/>
            <w:tcBorders>
              <w:top w:val="nil"/>
              <w:left w:val="single" w:sz="4" w:space="0" w:color="auto"/>
              <w:bottom w:val="single" w:sz="4" w:space="0" w:color="auto"/>
              <w:right w:val="single" w:sz="4" w:space="0" w:color="auto"/>
            </w:tcBorders>
            <w:noWrap/>
            <w:vAlign w:val="bottom"/>
            <w:hideMark/>
          </w:tcPr>
          <w:p w14:paraId="3D5246CD" w14:textId="77777777" w:rsidR="00C02F68" w:rsidRPr="00C02F68" w:rsidRDefault="00C02F68" w:rsidP="00C02F68">
            <w:pPr>
              <w:widowControl/>
              <w:autoSpaceDE/>
              <w:autoSpaceDN/>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Total</w:t>
            </w:r>
          </w:p>
        </w:tc>
        <w:tc>
          <w:tcPr>
            <w:tcW w:w="760" w:type="dxa"/>
            <w:tcBorders>
              <w:top w:val="nil"/>
              <w:left w:val="nil"/>
              <w:bottom w:val="single" w:sz="4" w:space="0" w:color="auto"/>
              <w:right w:val="single" w:sz="4" w:space="0" w:color="auto"/>
            </w:tcBorders>
            <w:noWrap/>
            <w:vAlign w:val="bottom"/>
            <w:hideMark/>
          </w:tcPr>
          <w:p w14:paraId="1872ED35"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350</w:t>
            </w:r>
          </w:p>
        </w:tc>
        <w:tc>
          <w:tcPr>
            <w:tcW w:w="520" w:type="dxa"/>
            <w:tcBorders>
              <w:top w:val="nil"/>
              <w:left w:val="nil"/>
              <w:bottom w:val="single" w:sz="4" w:space="0" w:color="auto"/>
              <w:right w:val="single" w:sz="4" w:space="0" w:color="auto"/>
            </w:tcBorders>
            <w:noWrap/>
            <w:vAlign w:val="bottom"/>
            <w:hideMark/>
          </w:tcPr>
          <w:p w14:paraId="0C02CFB7"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290</w:t>
            </w:r>
          </w:p>
        </w:tc>
        <w:tc>
          <w:tcPr>
            <w:tcW w:w="540" w:type="dxa"/>
            <w:tcBorders>
              <w:top w:val="nil"/>
              <w:left w:val="nil"/>
              <w:bottom w:val="single" w:sz="4" w:space="0" w:color="auto"/>
              <w:right w:val="single" w:sz="4" w:space="0" w:color="auto"/>
            </w:tcBorders>
            <w:noWrap/>
            <w:vAlign w:val="bottom"/>
            <w:hideMark/>
          </w:tcPr>
          <w:p w14:paraId="62E76191" w14:textId="77777777" w:rsidR="00C02F68" w:rsidRPr="00C02F68" w:rsidRDefault="00C02F68" w:rsidP="00C02F68">
            <w:pPr>
              <w:widowControl/>
              <w:autoSpaceDE/>
              <w:autoSpaceDN/>
              <w:jc w:val="right"/>
              <w:rPr>
                <w:rFonts w:ascii="Aptos Narrow" w:eastAsia="Times New Roman" w:hAnsi="Aptos Narrow" w:cs="Times New Roman"/>
                <w:color w:val="000000"/>
                <w:lang w:bidi="ar-SA"/>
              </w:rPr>
            </w:pPr>
            <w:r w:rsidRPr="00C02F68">
              <w:rPr>
                <w:rFonts w:ascii="Aptos Narrow" w:eastAsia="Times New Roman" w:hAnsi="Aptos Narrow" w:cs="Times New Roman"/>
                <w:color w:val="000000"/>
                <w:lang w:bidi="ar-SA"/>
              </w:rPr>
              <w:t>640</w:t>
            </w:r>
          </w:p>
        </w:tc>
      </w:tr>
    </w:tbl>
    <w:p w14:paraId="4F1AAB9E" w14:textId="29500B3C" w:rsidR="004719ED" w:rsidRPr="00302750" w:rsidRDefault="000931AC" w:rsidP="004719ED">
      <w:pPr>
        <w:pStyle w:val="BodyText"/>
        <w:spacing w:line="276" w:lineRule="auto"/>
        <w:ind w:right="1435" w:firstLine="142"/>
        <w:jc w:val="both"/>
        <w:rPr>
          <w:bCs/>
          <w:sz w:val="18"/>
          <w:szCs w:val="18"/>
          <w:vertAlign w:val="superscript"/>
        </w:rPr>
      </w:pPr>
      <w:r>
        <w:rPr>
          <w:bCs/>
          <w:sz w:val="18"/>
          <w:szCs w:val="18"/>
        </w:rPr>
        <w:lastRenderedPageBreak/>
        <w:t>Table 2: Mild Cognitive Impairment</w:t>
      </w:r>
      <w:r w:rsidR="00302750">
        <w:rPr>
          <w:bCs/>
          <w:sz w:val="18"/>
          <w:szCs w:val="18"/>
        </w:rPr>
        <w:t xml:space="preserve"> - </w:t>
      </w:r>
      <w:r w:rsidR="00337F76">
        <w:rPr>
          <w:bCs/>
          <w:sz w:val="18"/>
          <w:szCs w:val="18"/>
        </w:rPr>
        <w:t>February</w:t>
      </w:r>
      <w:r w:rsidR="00302750">
        <w:rPr>
          <w:bCs/>
          <w:sz w:val="18"/>
          <w:szCs w:val="18"/>
        </w:rPr>
        <w:t xml:space="preserve"> 202</w:t>
      </w:r>
      <w:r w:rsidR="00337F76">
        <w:rPr>
          <w:bCs/>
          <w:sz w:val="18"/>
          <w:szCs w:val="18"/>
        </w:rPr>
        <w:t>6</w:t>
      </w:r>
      <w:r>
        <w:rPr>
          <w:bCs/>
          <w:sz w:val="18"/>
          <w:szCs w:val="18"/>
        </w:rPr>
        <w:t xml:space="preserve">    </w:t>
      </w:r>
      <w:r w:rsidR="004719ED" w:rsidRPr="00302750">
        <w:rPr>
          <w:bCs/>
          <w:sz w:val="18"/>
          <w:szCs w:val="18"/>
        </w:rPr>
        <w:t>Source: NHS England</w:t>
      </w:r>
      <w:r w:rsidR="004719ED" w:rsidRPr="00302750">
        <w:rPr>
          <w:bCs/>
          <w:sz w:val="18"/>
          <w:szCs w:val="18"/>
          <w:vertAlign w:val="superscript"/>
        </w:rPr>
        <w:t xml:space="preserve">15 </w:t>
      </w:r>
    </w:p>
    <w:p w14:paraId="385354F7" w14:textId="77777777" w:rsidR="00431042" w:rsidRDefault="00431042" w:rsidP="00C63F1B">
      <w:pPr>
        <w:pStyle w:val="BodyText"/>
        <w:spacing w:line="276" w:lineRule="auto"/>
        <w:ind w:right="1435"/>
        <w:jc w:val="both"/>
        <w:rPr>
          <w:bCs/>
        </w:rPr>
      </w:pPr>
    </w:p>
    <w:p w14:paraId="6BCF07A0" w14:textId="75A1E912" w:rsidR="003525A3" w:rsidRDefault="008159E9" w:rsidP="003525A3">
      <w:pPr>
        <w:pStyle w:val="BodyText"/>
        <w:spacing w:line="276" w:lineRule="auto"/>
        <w:ind w:right="1435" w:firstLine="142"/>
        <w:jc w:val="both"/>
        <w:rPr>
          <w:b/>
          <w:vertAlign w:val="superscript"/>
        </w:rPr>
      </w:pPr>
      <w:bookmarkStart w:id="16" w:name="_Toc236218955"/>
      <w:r>
        <w:rPr>
          <w:rStyle w:val="Heading2Char"/>
        </w:rPr>
        <w:t>7</w:t>
      </w:r>
      <w:r w:rsidR="003525A3" w:rsidRPr="00017F28">
        <w:rPr>
          <w:rStyle w:val="Heading2Char"/>
        </w:rPr>
        <w:t>.</w:t>
      </w:r>
      <w:r w:rsidR="0064312F" w:rsidRPr="00017F28">
        <w:rPr>
          <w:rStyle w:val="Heading2Char"/>
        </w:rPr>
        <w:t>4</w:t>
      </w:r>
      <w:r w:rsidR="003525A3" w:rsidRPr="00017F28">
        <w:rPr>
          <w:rStyle w:val="Heading2Char"/>
        </w:rPr>
        <w:tab/>
        <w:t>Co</w:t>
      </w:r>
      <w:r w:rsidR="00EC4C06" w:rsidRPr="00017F28">
        <w:rPr>
          <w:rStyle w:val="Heading2Char"/>
        </w:rPr>
        <w:t>morbidities and Palliative care</w:t>
      </w:r>
      <w:bookmarkEnd w:id="16"/>
      <w:r w:rsidR="003525A3">
        <w:rPr>
          <w:b/>
        </w:rPr>
        <w:t xml:space="preserve"> </w:t>
      </w:r>
      <w:r w:rsidR="003525A3" w:rsidRPr="003E76EF">
        <w:rPr>
          <w:b/>
          <w:vertAlign w:val="superscript"/>
        </w:rPr>
        <w:t>15</w:t>
      </w:r>
    </w:p>
    <w:p w14:paraId="324AA133" w14:textId="77777777" w:rsidR="003525A3" w:rsidRDefault="003525A3" w:rsidP="00C63F1B">
      <w:pPr>
        <w:pStyle w:val="BodyText"/>
        <w:spacing w:line="276" w:lineRule="auto"/>
        <w:ind w:right="1435"/>
        <w:jc w:val="both"/>
        <w:rPr>
          <w:bCs/>
        </w:rPr>
      </w:pPr>
    </w:p>
    <w:p w14:paraId="60689C01" w14:textId="3D41851C" w:rsidR="00B73D8D" w:rsidRPr="000F25B8" w:rsidRDefault="007216EE" w:rsidP="00536886">
      <w:pPr>
        <w:pStyle w:val="BodyText"/>
        <w:ind w:right="1435"/>
        <w:jc w:val="both"/>
        <w:rPr>
          <w:bCs/>
        </w:rPr>
      </w:pPr>
      <w:r w:rsidRPr="000F25B8">
        <w:rPr>
          <w:bCs/>
        </w:rPr>
        <w:t xml:space="preserve">In </w:t>
      </w:r>
      <w:r w:rsidR="0090222F">
        <w:rPr>
          <w:bCs/>
        </w:rPr>
        <w:t>February</w:t>
      </w:r>
      <w:r w:rsidRPr="000F25B8">
        <w:rPr>
          <w:bCs/>
        </w:rPr>
        <w:t xml:space="preserve"> 202</w:t>
      </w:r>
      <w:r w:rsidR="0090222F">
        <w:rPr>
          <w:bCs/>
        </w:rPr>
        <w:t>6</w:t>
      </w:r>
      <w:r w:rsidRPr="000F25B8">
        <w:rPr>
          <w:bCs/>
        </w:rPr>
        <w:t xml:space="preserve">, </w:t>
      </w:r>
      <w:r w:rsidR="0035127C" w:rsidRPr="000F25B8">
        <w:rPr>
          <w:bCs/>
        </w:rPr>
        <w:t>8</w:t>
      </w:r>
      <w:r w:rsidR="001771AE">
        <w:rPr>
          <w:bCs/>
        </w:rPr>
        <w:t>9</w:t>
      </w:r>
      <w:r w:rsidR="0035127C" w:rsidRPr="000F25B8">
        <w:rPr>
          <w:bCs/>
        </w:rPr>
        <w:t>0</w:t>
      </w:r>
      <w:r w:rsidR="00E75F90" w:rsidRPr="000F25B8">
        <w:rPr>
          <w:bCs/>
        </w:rPr>
        <w:t xml:space="preserve"> </w:t>
      </w:r>
      <w:r w:rsidR="00EA3F54" w:rsidRPr="000F25B8">
        <w:rPr>
          <w:bCs/>
        </w:rPr>
        <w:t xml:space="preserve">people </w:t>
      </w:r>
      <w:r w:rsidR="00D936AA" w:rsidRPr="000F25B8">
        <w:rPr>
          <w:bCs/>
        </w:rPr>
        <w:t>(7</w:t>
      </w:r>
      <w:r w:rsidR="001771AE">
        <w:rPr>
          <w:bCs/>
        </w:rPr>
        <w:t>8</w:t>
      </w:r>
      <w:r w:rsidR="00D936AA" w:rsidRPr="000F25B8">
        <w:rPr>
          <w:bCs/>
        </w:rPr>
        <w:t xml:space="preserve">%) </w:t>
      </w:r>
      <w:r w:rsidR="00EA3F54" w:rsidRPr="000F25B8">
        <w:rPr>
          <w:bCs/>
        </w:rPr>
        <w:t>with diagnosed Dementia</w:t>
      </w:r>
      <w:r w:rsidR="007838CF" w:rsidRPr="000F25B8">
        <w:rPr>
          <w:bCs/>
        </w:rPr>
        <w:t xml:space="preserve"> aged 65 or above</w:t>
      </w:r>
      <w:r w:rsidR="00EA3F54" w:rsidRPr="000F25B8">
        <w:rPr>
          <w:bCs/>
        </w:rPr>
        <w:t xml:space="preserve"> in Knowsley </w:t>
      </w:r>
      <w:r w:rsidR="00844390" w:rsidRPr="000F25B8">
        <w:rPr>
          <w:bCs/>
        </w:rPr>
        <w:t xml:space="preserve">also had one or more </w:t>
      </w:r>
      <w:r w:rsidR="005A791F" w:rsidRPr="000F25B8">
        <w:rPr>
          <w:bCs/>
        </w:rPr>
        <w:t xml:space="preserve">diagnosis for </w:t>
      </w:r>
      <w:r w:rsidR="00844390" w:rsidRPr="000F25B8">
        <w:rPr>
          <w:bCs/>
        </w:rPr>
        <w:t>diabetes, stroke, hypertension and coronary heart disease (CHD).</w:t>
      </w:r>
      <w:r w:rsidR="00412EA7" w:rsidRPr="000F25B8">
        <w:rPr>
          <w:bCs/>
        </w:rPr>
        <w:t xml:space="preserve">  </w:t>
      </w:r>
      <w:r w:rsidR="00940A11" w:rsidRPr="000F25B8">
        <w:rPr>
          <w:bCs/>
        </w:rPr>
        <w:t xml:space="preserve">This is higher than England </w:t>
      </w:r>
      <w:r w:rsidR="009D17EE" w:rsidRPr="000F25B8">
        <w:rPr>
          <w:bCs/>
        </w:rPr>
        <w:t xml:space="preserve">and North West (both </w:t>
      </w:r>
      <w:r w:rsidR="00940A11" w:rsidRPr="000F25B8">
        <w:rPr>
          <w:bCs/>
        </w:rPr>
        <w:t>7</w:t>
      </w:r>
      <w:r w:rsidR="00A34C84" w:rsidRPr="000F25B8">
        <w:rPr>
          <w:bCs/>
        </w:rPr>
        <w:t>4</w:t>
      </w:r>
      <w:r w:rsidR="00940A11" w:rsidRPr="000F25B8">
        <w:rPr>
          <w:bCs/>
        </w:rPr>
        <w:t>%</w:t>
      </w:r>
      <w:r w:rsidR="009D17EE" w:rsidRPr="000F25B8">
        <w:rPr>
          <w:bCs/>
        </w:rPr>
        <w:t>).</w:t>
      </w:r>
    </w:p>
    <w:p w14:paraId="30C27A0B" w14:textId="77777777" w:rsidR="00B73D8D" w:rsidRPr="000F25B8" w:rsidRDefault="00B73D8D" w:rsidP="00536886">
      <w:pPr>
        <w:pStyle w:val="BodyText"/>
        <w:ind w:right="1435"/>
        <w:jc w:val="both"/>
        <w:rPr>
          <w:bCs/>
        </w:rPr>
      </w:pPr>
    </w:p>
    <w:p w14:paraId="63B710EF" w14:textId="1F5FFF42" w:rsidR="007216EE" w:rsidRDefault="0083103C" w:rsidP="00536886">
      <w:pPr>
        <w:pStyle w:val="BodyText"/>
        <w:ind w:right="1435"/>
        <w:jc w:val="both"/>
        <w:rPr>
          <w:bCs/>
        </w:rPr>
      </w:pPr>
      <w:r w:rsidRPr="000F25B8">
        <w:rPr>
          <w:bCs/>
        </w:rPr>
        <w:t>Knowsley sub-ICB also has</w:t>
      </w:r>
      <w:r w:rsidR="00FF081A" w:rsidRPr="000F25B8">
        <w:rPr>
          <w:bCs/>
        </w:rPr>
        <w:t xml:space="preserve"> 3</w:t>
      </w:r>
      <w:r w:rsidR="004A410A" w:rsidRPr="000F25B8">
        <w:rPr>
          <w:bCs/>
        </w:rPr>
        <w:t>1</w:t>
      </w:r>
      <w:r w:rsidR="00FF081A" w:rsidRPr="000F25B8">
        <w:rPr>
          <w:bCs/>
        </w:rPr>
        <w:t>0 people</w:t>
      </w:r>
      <w:r w:rsidRPr="000F25B8">
        <w:rPr>
          <w:bCs/>
        </w:rPr>
        <w:t xml:space="preserve"> </w:t>
      </w:r>
      <w:r w:rsidR="00FF081A" w:rsidRPr="000F25B8">
        <w:rPr>
          <w:bCs/>
        </w:rPr>
        <w:t>(</w:t>
      </w:r>
      <w:r w:rsidR="0086473D">
        <w:rPr>
          <w:bCs/>
        </w:rPr>
        <w:t>33</w:t>
      </w:r>
      <w:r w:rsidRPr="000F25B8">
        <w:rPr>
          <w:bCs/>
        </w:rPr>
        <w:t>%</w:t>
      </w:r>
      <w:r w:rsidR="00FF081A" w:rsidRPr="000F25B8">
        <w:rPr>
          <w:bCs/>
        </w:rPr>
        <w:t>)</w:t>
      </w:r>
      <w:r w:rsidRPr="000F25B8">
        <w:rPr>
          <w:bCs/>
        </w:rPr>
        <w:t xml:space="preserve"> of people </w:t>
      </w:r>
      <w:r w:rsidR="00821720" w:rsidRPr="000F25B8">
        <w:rPr>
          <w:bCs/>
        </w:rPr>
        <w:t xml:space="preserve">diagnosed with Dementia </w:t>
      </w:r>
      <w:r w:rsidR="0086473D">
        <w:rPr>
          <w:bCs/>
        </w:rPr>
        <w:t xml:space="preserve">aged 65 or above </w:t>
      </w:r>
      <w:r w:rsidR="00821720" w:rsidRPr="000F25B8">
        <w:rPr>
          <w:bCs/>
        </w:rPr>
        <w:t>are in palliative care</w:t>
      </w:r>
      <w:r w:rsidR="006B5C70" w:rsidRPr="000F25B8">
        <w:rPr>
          <w:bCs/>
        </w:rPr>
        <w:t>, this much higher than England (</w:t>
      </w:r>
      <w:r w:rsidR="007D33A7">
        <w:rPr>
          <w:bCs/>
        </w:rPr>
        <w:t>20</w:t>
      </w:r>
      <w:r w:rsidR="006B5C70" w:rsidRPr="000F25B8">
        <w:rPr>
          <w:bCs/>
        </w:rPr>
        <w:t xml:space="preserve">%) and North West </w:t>
      </w:r>
      <w:r w:rsidR="005B7893" w:rsidRPr="000F25B8">
        <w:rPr>
          <w:bCs/>
        </w:rPr>
        <w:t>(2</w:t>
      </w:r>
      <w:r w:rsidR="00FD64F9">
        <w:rPr>
          <w:bCs/>
        </w:rPr>
        <w:t>5</w:t>
      </w:r>
      <w:r w:rsidR="005B7893" w:rsidRPr="000F25B8">
        <w:rPr>
          <w:bCs/>
        </w:rPr>
        <w:t>%)</w:t>
      </w:r>
      <w:r w:rsidR="00821720" w:rsidRPr="000F25B8">
        <w:rPr>
          <w:bCs/>
        </w:rPr>
        <w:t>.</w:t>
      </w:r>
      <w:r w:rsidR="00821720">
        <w:rPr>
          <w:bCs/>
        </w:rPr>
        <w:t xml:space="preserve">  </w:t>
      </w:r>
      <w:r w:rsidR="00940A11">
        <w:rPr>
          <w:bCs/>
        </w:rPr>
        <w:t xml:space="preserve"> </w:t>
      </w:r>
    </w:p>
    <w:p w14:paraId="31542FB5" w14:textId="77777777" w:rsidR="003525A3" w:rsidRPr="00C63F1B" w:rsidRDefault="003525A3" w:rsidP="00C63F1B">
      <w:pPr>
        <w:pStyle w:val="BodyText"/>
        <w:spacing w:line="276" w:lineRule="auto"/>
        <w:ind w:right="1435"/>
        <w:jc w:val="both"/>
        <w:rPr>
          <w:bCs/>
        </w:rPr>
      </w:pPr>
    </w:p>
    <w:p w14:paraId="516604F9" w14:textId="7D1DEBD8" w:rsidR="00A755ED" w:rsidRPr="0064312F" w:rsidRDefault="008159E9" w:rsidP="0064312F">
      <w:pPr>
        <w:pStyle w:val="BodyText"/>
        <w:spacing w:line="276" w:lineRule="auto"/>
        <w:ind w:right="1435" w:firstLine="142"/>
        <w:jc w:val="both"/>
        <w:rPr>
          <w:b/>
        </w:rPr>
      </w:pPr>
      <w:bookmarkStart w:id="17" w:name="_Toc236218956"/>
      <w:r>
        <w:rPr>
          <w:rStyle w:val="Heading2Char"/>
        </w:rPr>
        <w:t>7</w:t>
      </w:r>
      <w:r w:rsidR="00A755ED" w:rsidRPr="00017F28">
        <w:rPr>
          <w:rStyle w:val="Heading2Char"/>
        </w:rPr>
        <w:t>.</w:t>
      </w:r>
      <w:r w:rsidR="0064312F" w:rsidRPr="00017F28">
        <w:rPr>
          <w:rStyle w:val="Heading2Char"/>
        </w:rPr>
        <w:t>5</w:t>
      </w:r>
      <w:r w:rsidR="00A755ED" w:rsidRPr="00017F28">
        <w:rPr>
          <w:rStyle w:val="Heading2Char"/>
        </w:rPr>
        <w:tab/>
      </w:r>
      <w:r w:rsidR="005A0FDB" w:rsidRPr="00017F28">
        <w:rPr>
          <w:rStyle w:val="Heading2Char"/>
        </w:rPr>
        <w:t>Dementia by age and gender</w:t>
      </w:r>
      <w:bookmarkEnd w:id="17"/>
      <w:r w:rsidR="005A0FDB">
        <w:rPr>
          <w:b/>
        </w:rPr>
        <w:t xml:space="preserve"> </w:t>
      </w:r>
      <w:r w:rsidR="00A755ED" w:rsidRPr="003E76EF">
        <w:rPr>
          <w:b/>
          <w:vertAlign w:val="superscript"/>
        </w:rPr>
        <w:t>15</w:t>
      </w:r>
    </w:p>
    <w:p w14:paraId="4B18481A" w14:textId="02639936" w:rsidR="005A1D2A" w:rsidRDefault="005A1D2A" w:rsidP="007E6F4B">
      <w:pPr>
        <w:pStyle w:val="BodyText"/>
        <w:ind w:right="1435" w:firstLine="142"/>
        <w:jc w:val="both"/>
        <w:rPr>
          <w:bCs/>
        </w:rPr>
      </w:pPr>
    </w:p>
    <w:p w14:paraId="48771126" w14:textId="483C161E" w:rsidR="00D80CC6" w:rsidRDefault="00D80CC6" w:rsidP="000F2326">
      <w:pPr>
        <w:pStyle w:val="BodyText"/>
        <w:shd w:val="clear" w:color="auto" w:fill="FFFFFF" w:themeFill="background1"/>
        <w:ind w:right="1435"/>
        <w:jc w:val="both"/>
        <w:rPr>
          <w:b/>
          <w:vertAlign w:val="superscript"/>
        </w:rPr>
      </w:pPr>
      <w:r w:rsidRPr="000F25B8">
        <w:rPr>
          <w:bCs/>
        </w:rPr>
        <w:t>Around 3 in 5 (6</w:t>
      </w:r>
      <w:r w:rsidR="00FB5296">
        <w:rPr>
          <w:bCs/>
        </w:rPr>
        <w:t>1</w:t>
      </w:r>
      <w:r w:rsidRPr="000F25B8">
        <w:rPr>
          <w:bCs/>
        </w:rPr>
        <w:t>%</w:t>
      </w:r>
      <w:r w:rsidR="00A02073" w:rsidRPr="000F25B8">
        <w:rPr>
          <w:bCs/>
        </w:rPr>
        <w:t>)</w:t>
      </w:r>
      <w:r w:rsidRPr="000F25B8">
        <w:rPr>
          <w:bCs/>
        </w:rPr>
        <w:t xml:space="preserve"> </w:t>
      </w:r>
      <w:r w:rsidR="00A02073" w:rsidRPr="000F25B8">
        <w:rPr>
          <w:bCs/>
        </w:rPr>
        <w:t xml:space="preserve">of </w:t>
      </w:r>
      <w:r w:rsidRPr="000F25B8">
        <w:rPr>
          <w:bCs/>
        </w:rPr>
        <w:t xml:space="preserve">people with Dementia in Knowsley are </w:t>
      </w:r>
      <w:r w:rsidR="005A1C91">
        <w:rPr>
          <w:bCs/>
        </w:rPr>
        <w:t>females</w:t>
      </w:r>
      <w:r w:rsidR="00A02073" w:rsidRPr="000F25B8">
        <w:rPr>
          <w:bCs/>
        </w:rPr>
        <w:t xml:space="preserve">.  </w:t>
      </w:r>
      <w:r w:rsidR="005A1C91" w:rsidRPr="000F25B8">
        <w:rPr>
          <w:bCs/>
        </w:rPr>
        <w:t>Most of</w:t>
      </w:r>
      <w:r w:rsidR="00A02073" w:rsidRPr="000F25B8">
        <w:rPr>
          <w:bCs/>
        </w:rPr>
        <w:t xml:space="preserve"> these females</w:t>
      </w:r>
      <w:r w:rsidR="0018496C" w:rsidRPr="000F25B8">
        <w:rPr>
          <w:bCs/>
        </w:rPr>
        <w:t xml:space="preserve"> (</w:t>
      </w:r>
      <w:r w:rsidR="001A0A2D">
        <w:rPr>
          <w:bCs/>
        </w:rPr>
        <w:t>69</w:t>
      </w:r>
      <w:r w:rsidR="0018496C" w:rsidRPr="000F25B8">
        <w:rPr>
          <w:bCs/>
        </w:rPr>
        <w:t>%) are aged 80 or over</w:t>
      </w:r>
      <w:r w:rsidR="00632FDC" w:rsidRPr="000F25B8">
        <w:rPr>
          <w:bCs/>
        </w:rPr>
        <w:t xml:space="preserve"> compared to </w:t>
      </w:r>
      <w:r w:rsidR="00146DC0" w:rsidRPr="000F25B8">
        <w:rPr>
          <w:bCs/>
        </w:rPr>
        <w:t>55</w:t>
      </w:r>
      <w:r w:rsidR="00632FDC" w:rsidRPr="000F25B8">
        <w:rPr>
          <w:bCs/>
        </w:rPr>
        <w:t>% o</w:t>
      </w:r>
      <w:r w:rsidR="00D3546E" w:rsidRPr="000F25B8">
        <w:rPr>
          <w:bCs/>
        </w:rPr>
        <w:t>f males aged 80 or over.</w:t>
      </w:r>
    </w:p>
    <w:p w14:paraId="3C6DAA2F" w14:textId="77777777" w:rsidR="005A0FDB" w:rsidRDefault="005A0FDB" w:rsidP="007E6F4B">
      <w:pPr>
        <w:pStyle w:val="BodyText"/>
        <w:ind w:right="1435" w:firstLine="142"/>
        <w:jc w:val="both"/>
        <w:rPr>
          <w:b/>
        </w:rPr>
      </w:pPr>
    </w:p>
    <w:p w14:paraId="7B3B6FFC" w14:textId="238730C2" w:rsidR="0065360C" w:rsidRDefault="000636E1" w:rsidP="004E2E30">
      <w:pPr>
        <w:widowControl/>
        <w:autoSpaceDE/>
        <w:autoSpaceDN/>
        <w:ind w:firstLine="140"/>
        <w:jc w:val="both"/>
        <w:rPr>
          <w:i/>
          <w:sz w:val="18"/>
        </w:rPr>
      </w:pPr>
      <w:r>
        <w:rPr>
          <w:noProof/>
        </w:rPr>
        <w:drawing>
          <wp:inline distT="0" distB="0" distL="0" distR="0" wp14:anchorId="146647A3" wp14:editId="1F66E9A8">
            <wp:extent cx="4292600" cy="2527300"/>
            <wp:effectExtent l="0" t="0" r="0" b="6350"/>
            <wp:docPr id="519027394" name="Chart 1">
              <a:extLst xmlns:a="http://schemas.openxmlformats.org/drawingml/2006/main">
                <a:ext uri="{FF2B5EF4-FFF2-40B4-BE49-F238E27FC236}">
                  <a16:creationId xmlns:a16="http://schemas.microsoft.com/office/drawing/2014/main" id="{60ECD211-CAA4-DF28-7869-F6A323D284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389B061" w14:textId="594A2DA5" w:rsidR="004E2E30" w:rsidRDefault="004E2E30" w:rsidP="000636E1">
      <w:pPr>
        <w:widowControl/>
        <w:autoSpaceDE/>
        <w:autoSpaceDN/>
        <w:ind w:firstLine="140"/>
        <w:jc w:val="both"/>
        <w:rPr>
          <w:i/>
          <w:sz w:val="18"/>
        </w:rPr>
      </w:pPr>
      <w:r w:rsidRPr="00334DF7">
        <w:rPr>
          <w:i/>
          <w:sz w:val="18"/>
        </w:rPr>
        <w:t xml:space="preserve">Figure </w:t>
      </w:r>
      <w:r>
        <w:rPr>
          <w:i/>
          <w:sz w:val="18"/>
        </w:rPr>
        <w:t>3</w:t>
      </w:r>
      <w:r w:rsidRPr="00334DF7">
        <w:rPr>
          <w:i/>
          <w:sz w:val="18"/>
        </w:rPr>
        <w:t xml:space="preserve">: </w:t>
      </w:r>
      <w:r>
        <w:rPr>
          <w:i/>
          <w:sz w:val="18"/>
        </w:rPr>
        <w:t xml:space="preserve">Diagnosed Dementia </w:t>
      </w:r>
      <w:r w:rsidR="00111465">
        <w:rPr>
          <w:i/>
          <w:sz w:val="18"/>
        </w:rPr>
        <w:t xml:space="preserve">by age and gender - </w:t>
      </w:r>
      <w:r w:rsidR="00E300C0">
        <w:rPr>
          <w:i/>
          <w:sz w:val="18"/>
        </w:rPr>
        <w:t>February</w:t>
      </w:r>
      <w:r>
        <w:rPr>
          <w:i/>
          <w:sz w:val="18"/>
        </w:rPr>
        <w:t xml:space="preserve"> </w:t>
      </w:r>
      <w:r w:rsidR="00111465">
        <w:rPr>
          <w:i/>
          <w:sz w:val="18"/>
        </w:rPr>
        <w:t>20</w:t>
      </w:r>
      <w:r>
        <w:rPr>
          <w:i/>
          <w:sz w:val="18"/>
        </w:rPr>
        <w:t>2</w:t>
      </w:r>
      <w:r w:rsidR="00E300C0">
        <w:rPr>
          <w:i/>
          <w:sz w:val="18"/>
        </w:rPr>
        <w:t>6</w:t>
      </w:r>
      <w:r w:rsidR="000636E1">
        <w:rPr>
          <w:i/>
          <w:sz w:val="18"/>
        </w:rPr>
        <w:t xml:space="preserve">        </w:t>
      </w:r>
      <w:r w:rsidRPr="00334DF7">
        <w:rPr>
          <w:i/>
          <w:sz w:val="18"/>
        </w:rPr>
        <w:t xml:space="preserve">Source: </w:t>
      </w:r>
      <w:r w:rsidR="003C482A">
        <w:rPr>
          <w:i/>
          <w:sz w:val="18"/>
        </w:rPr>
        <w:t>NHS England</w:t>
      </w:r>
    </w:p>
    <w:p w14:paraId="688F6B20" w14:textId="64405938" w:rsidR="00775841" w:rsidRDefault="00775841" w:rsidP="00AD24EE">
      <w:pPr>
        <w:pStyle w:val="BodyText"/>
        <w:spacing w:line="276" w:lineRule="auto"/>
        <w:ind w:right="1435" w:firstLine="142"/>
        <w:jc w:val="both"/>
        <w:rPr>
          <w:b/>
          <w:vertAlign w:val="superscript"/>
        </w:rPr>
      </w:pPr>
    </w:p>
    <w:p w14:paraId="130FBC57" w14:textId="1B4E4EF7" w:rsidR="00A922E7" w:rsidRDefault="00BC3F4F" w:rsidP="00A922E7">
      <w:pPr>
        <w:pStyle w:val="BodyText"/>
        <w:spacing w:line="276" w:lineRule="auto"/>
        <w:ind w:right="1435" w:firstLine="142"/>
        <w:jc w:val="both"/>
        <w:rPr>
          <w:b/>
        </w:rPr>
      </w:pPr>
      <w:bookmarkStart w:id="18" w:name="_Toc236218957"/>
      <w:r>
        <w:rPr>
          <w:rStyle w:val="Heading2Char"/>
        </w:rPr>
        <w:t>7</w:t>
      </w:r>
      <w:r w:rsidR="00A922E7" w:rsidRPr="00017F28">
        <w:rPr>
          <w:rStyle w:val="Heading2Char"/>
        </w:rPr>
        <w:t>.</w:t>
      </w:r>
      <w:r w:rsidR="005701BA" w:rsidRPr="00017F28">
        <w:rPr>
          <w:rStyle w:val="Heading2Char"/>
        </w:rPr>
        <w:t>6</w:t>
      </w:r>
      <w:r w:rsidR="00A922E7" w:rsidRPr="00017F28">
        <w:rPr>
          <w:rStyle w:val="Heading2Char"/>
        </w:rPr>
        <w:tab/>
        <w:t xml:space="preserve">Young onset </w:t>
      </w:r>
      <w:r w:rsidR="00E34842" w:rsidRPr="00017F28">
        <w:rPr>
          <w:rStyle w:val="Heading2Char"/>
        </w:rPr>
        <w:t>Dementia</w:t>
      </w:r>
      <w:bookmarkEnd w:id="18"/>
      <w:r w:rsidR="00017F28">
        <w:rPr>
          <w:b/>
        </w:rPr>
        <w:t xml:space="preserve"> </w:t>
      </w:r>
      <w:r w:rsidR="003E76EF" w:rsidRPr="003E76EF">
        <w:rPr>
          <w:b/>
          <w:vertAlign w:val="superscript"/>
        </w:rPr>
        <w:t>15</w:t>
      </w:r>
    </w:p>
    <w:p w14:paraId="17460CC3" w14:textId="77777777" w:rsidR="00E34842" w:rsidRDefault="00E34842" w:rsidP="007E6F4B">
      <w:pPr>
        <w:pStyle w:val="BodyText"/>
        <w:ind w:right="1435" w:firstLine="142"/>
        <w:jc w:val="both"/>
        <w:rPr>
          <w:b/>
        </w:rPr>
      </w:pPr>
    </w:p>
    <w:p w14:paraId="231A5E65" w14:textId="6E6E9D06" w:rsidR="00E34842" w:rsidRDefault="009F13E0" w:rsidP="000F2326">
      <w:pPr>
        <w:pStyle w:val="BodyText"/>
        <w:ind w:right="1435"/>
        <w:jc w:val="both"/>
        <w:rPr>
          <w:bCs/>
        </w:rPr>
      </w:pPr>
      <w:r w:rsidRPr="00CC0607">
        <w:rPr>
          <w:bCs/>
        </w:rPr>
        <w:t xml:space="preserve">Young onset Dementia is referred to those people who </w:t>
      </w:r>
      <w:r w:rsidR="001027EE" w:rsidRPr="00CC0607">
        <w:rPr>
          <w:bCs/>
        </w:rPr>
        <w:t xml:space="preserve">have been </w:t>
      </w:r>
      <w:r w:rsidR="006E7C22" w:rsidRPr="00CC0607">
        <w:rPr>
          <w:bCs/>
        </w:rPr>
        <w:t>diagnosed</w:t>
      </w:r>
      <w:r w:rsidR="001027EE" w:rsidRPr="00CC0607">
        <w:rPr>
          <w:bCs/>
        </w:rPr>
        <w:t xml:space="preserve"> Dementia at young age (under 65). </w:t>
      </w:r>
      <w:r w:rsidR="00952F0D">
        <w:rPr>
          <w:bCs/>
        </w:rPr>
        <w:t>D</w:t>
      </w:r>
      <w:r w:rsidR="00B16749" w:rsidRPr="00CC0607">
        <w:rPr>
          <w:bCs/>
        </w:rPr>
        <w:t xml:space="preserve">ata from </w:t>
      </w:r>
      <w:r w:rsidR="00952F0D">
        <w:rPr>
          <w:bCs/>
        </w:rPr>
        <w:t>February</w:t>
      </w:r>
      <w:r w:rsidR="00B16749" w:rsidRPr="00CC0607">
        <w:rPr>
          <w:bCs/>
        </w:rPr>
        <w:t xml:space="preserve"> 20</w:t>
      </w:r>
      <w:r w:rsidR="00952F0D">
        <w:rPr>
          <w:bCs/>
        </w:rPr>
        <w:t>26</w:t>
      </w:r>
      <w:r w:rsidRPr="00CC0607">
        <w:rPr>
          <w:bCs/>
        </w:rPr>
        <w:t xml:space="preserve"> shows that Knowsley sub-ICB had 1</w:t>
      </w:r>
      <w:r w:rsidR="00900CD4" w:rsidRPr="00CC0607">
        <w:rPr>
          <w:bCs/>
        </w:rPr>
        <w:t>1</w:t>
      </w:r>
      <w:r w:rsidR="00C94274">
        <w:rPr>
          <w:bCs/>
        </w:rPr>
        <w:t>0</w:t>
      </w:r>
      <w:r w:rsidRPr="00CC0607">
        <w:rPr>
          <w:bCs/>
        </w:rPr>
        <w:t xml:space="preserve"> people diagnosed</w:t>
      </w:r>
      <w:r w:rsidR="001027EE" w:rsidRPr="00CC0607">
        <w:rPr>
          <w:bCs/>
        </w:rPr>
        <w:t xml:space="preserve"> under the age of 65.  This equates to </w:t>
      </w:r>
      <w:r w:rsidR="00137541">
        <w:rPr>
          <w:bCs/>
        </w:rPr>
        <w:t>9.4</w:t>
      </w:r>
      <w:r w:rsidR="00FF279F" w:rsidRPr="00CC0607">
        <w:rPr>
          <w:bCs/>
        </w:rPr>
        <w:t>% of all people with diagnosed Dementia in Knowsley Sub</w:t>
      </w:r>
      <w:r w:rsidR="00D50360" w:rsidRPr="00CC0607">
        <w:rPr>
          <w:bCs/>
        </w:rPr>
        <w:t>-ICB</w:t>
      </w:r>
      <w:r w:rsidR="001B1F98" w:rsidRPr="00CC0607">
        <w:rPr>
          <w:bCs/>
        </w:rPr>
        <w:t>, this is higher than England (</w:t>
      </w:r>
      <w:r w:rsidR="00AB3B67" w:rsidRPr="00CC0607">
        <w:rPr>
          <w:bCs/>
        </w:rPr>
        <w:t>6.</w:t>
      </w:r>
      <w:r w:rsidR="00A03FD4">
        <w:rPr>
          <w:bCs/>
        </w:rPr>
        <w:t>8</w:t>
      </w:r>
      <w:r w:rsidR="001B1F98" w:rsidRPr="00CC0607">
        <w:rPr>
          <w:bCs/>
        </w:rPr>
        <w:t>%)</w:t>
      </w:r>
      <w:r w:rsidRPr="00CC0607">
        <w:rPr>
          <w:bCs/>
        </w:rPr>
        <w:t xml:space="preserve"> </w:t>
      </w:r>
      <w:r w:rsidR="001B1F98" w:rsidRPr="00CC0607">
        <w:rPr>
          <w:bCs/>
        </w:rPr>
        <w:t xml:space="preserve">and North West </w:t>
      </w:r>
      <w:r w:rsidR="00CD5E0E" w:rsidRPr="00CC0607">
        <w:rPr>
          <w:bCs/>
        </w:rPr>
        <w:t>(</w:t>
      </w:r>
      <w:r w:rsidR="00A03FD4">
        <w:rPr>
          <w:bCs/>
        </w:rPr>
        <w:t>7.2</w:t>
      </w:r>
      <w:r w:rsidR="00CD5E0E" w:rsidRPr="00CC0607">
        <w:rPr>
          <w:bCs/>
        </w:rPr>
        <w:t>%)</w:t>
      </w:r>
      <w:r w:rsidR="00E537B4" w:rsidRPr="00CC0607">
        <w:rPr>
          <w:bCs/>
        </w:rPr>
        <w:t xml:space="preserve"> and </w:t>
      </w:r>
      <w:r w:rsidR="008C32F5" w:rsidRPr="00CC0607">
        <w:rPr>
          <w:bCs/>
        </w:rPr>
        <w:t xml:space="preserve">is the </w:t>
      </w:r>
      <w:r w:rsidR="00A96A17">
        <w:rPr>
          <w:bCs/>
        </w:rPr>
        <w:t>11</w:t>
      </w:r>
      <w:r w:rsidR="00260913" w:rsidRPr="00CC0607">
        <w:rPr>
          <w:bCs/>
          <w:vertAlign w:val="superscript"/>
        </w:rPr>
        <w:t>th</w:t>
      </w:r>
      <w:r w:rsidR="008C32F5" w:rsidRPr="00CC0607">
        <w:rPr>
          <w:bCs/>
        </w:rPr>
        <w:t xml:space="preserve"> highest Sub-ICB in England</w:t>
      </w:r>
      <w:r w:rsidR="00CD5E0E" w:rsidRPr="00CC0607">
        <w:rPr>
          <w:bCs/>
        </w:rPr>
        <w:t>.</w:t>
      </w:r>
      <w:r w:rsidR="00CD5E0E">
        <w:rPr>
          <w:bCs/>
        </w:rPr>
        <w:t xml:space="preserve">   </w:t>
      </w:r>
    </w:p>
    <w:p w14:paraId="239BFD01" w14:textId="77777777" w:rsidR="002C2848" w:rsidRDefault="002C2848" w:rsidP="009F13E0">
      <w:pPr>
        <w:pStyle w:val="BodyText"/>
        <w:spacing w:line="276" w:lineRule="auto"/>
        <w:ind w:right="1435"/>
        <w:jc w:val="both"/>
        <w:rPr>
          <w:bCs/>
        </w:rPr>
      </w:pPr>
    </w:p>
    <w:p w14:paraId="4C61FCC3" w14:textId="53AF4A44" w:rsidR="002C2848" w:rsidRDefault="00BC3F4F" w:rsidP="00017F28">
      <w:pPr>
        <w:pStyle w:val="Heading2"/>
        <w:ind w:left="0"/>
      </w:pPr>
      <w:bookmarkStart w:id="19" w:name="_Toc236218958"/>
      <w:r>
        <w:t>7</w:t>
      </w:r>
      <w:r w:rsidR="002C2848" w:rsidRPr="00CB6EC2">
        <w:t>.</w:t>
      </w:r>
      <w:r w:rsidR="005701BA">
        <w:t>7</w:t>
      </w:r>
      <w:r w:rsidR="00017F28">
        <w:tab/>
      </w:r>
      <w:r w:rsidR="00E86D6F">
        <w:t xml:space="preserve">Ethnic Minority </w:t>
      </w:r>
      <w:r w:rsidR="003E7F84">
        <w:t>population with diagnosed Dementia</w:t>
      </w:r>
      <w:bookmarkEnd w:id="19"/>
    </w:p>
    <w:p w14:paraId="3E07CD76" w14:textId="77777777" w:rsidR="002C2848" w:rsidRPr="00B16749" w:rsidRDefault="002C2848" w:rsidP="007E6F4B">
      <w:pPr>
        <w:pStyle w:val="BodyText"/>
        <w:ind w:right="1435"/>
        <w:jc w:val="both"/>
        <w:rPr>
          <w:bCs/>
        </w:rPr>
      </w:pPr>
    </w:p>
    <w:p w14:paraId="75C525A1" w14:textId="1337F693" w:rsidR="000139A9" w:rsidRPr="00CC0607" w:rsidRDefault="003E7F84" w:rsidP="000F2326">
      <w:pPr>
        <w:pStyle w:val="BodyText"/>
        <w:ind w:right="1435"/>
        <w:jc w:val="both"/>
        <w:rPr>
          <w:bCs/>
        </w:rPr>
      </w:pPr>
      <w:r w:rsidRPr="00CC0607">
        <w:rPr>
          <w:bCs/>
        </w:rPr>
        <w:t xml:space="preserve">Knowsley has </w:t>
      </w:r>
      <w:r w:rsidR="005049DA" w:rsidRPr="00CC0607">
        <w:rPr>
          <w:bCs/>
        </w:rPr>
        <w:t xml:space="preserve">a </w:t>
      </w:r>
      <w:r w:rsidR="00C765E8" w:rsidRPr="00CC0607">
        <w:rPr>
          <w:bCs/>
        </w:rPr>
        <w:t xml:space="preserve">small ethnic minority population compared with </w:t>
      </w:r>
      <w:r w:rsidR="00E92817" w:rsidRPr="00CC0607">
        <w:rPr>
          <w:bCs/>
        </w:rPr>
        <w:t>the rest of the country.</w:t>
      </w:r>
      <w:r w:rsidR="00627A53" w:rsidRPr="00CC0607">
        <w:rPr>
          <w:bCs/>
        </w:rPr>
        <w:t xml:space="preserve">  The 2021 census shows that </w:t>
      </w:r>
      <w:r w:rsidR="00FE1790" w:rsidRPr="00CC0607">
        <w:rPr>
          <w:bCs/>
        </w:rPr>
        <w:t>98.4% of the Knowsley population aged 65+</w:t>
      </w:r>
      <w:r w:rsidR="000139A9" w:rsidRPr="00CC0607">
        <w:rPr>
          <w:bCs/>
        </w:rPr>
        <w:t xml:space="preserve"> is from a White ethnic group, whilst 1.6% is from a minority ethnic group.</w:t>
      </w:r>
      <w:r w:rsidR="000139A9" w:rsidRPr="00CC0607">
        <w:rPr>
          <w:bCs/>
          <w:vertAlign w:val="superscript"/>
        </w:rPr>
        <w:t>4</w:t>
      </w:r>
      <w:r w:rsidR="00FE1790" w:rsidRPr="00CC0607">
        <w:rPr>
          <w:bCs/>
        </w:rPr>
        <w:t xml:space="preserve"> </w:t>
      </w:r>
      <w:r w:rsidR="00E92817" w:rsidRPr="00CC0607">
        <w:rPr>
          <w:bCs/>
        </w:rPr>
        <w:t xml:space="preserve">  </w:t>
      </w:r>
    </w:p>
    <w:p w14:paraId="186551B9" w14:textId="77777777" w:rsidR="000139A9" w:rsidRPr="00CC0607" w:rsidRDefault="000139A9" w:rsidP="000F2326">
      <w:pPr>
        <w:pStyle w:val="BodyText"/>
        <w:ind w:right="1435"/>
        <w:jc w:val="both"/>
        <w:rPr>
          <w:bCs/>
        </w:rPr>
      </w:pPr>
    </w:p>
    <w:p w14:paraId="06DFA7C2" w14:textId="6B572BC4" w:rsidR="00591A1D" w:rsidRDefault="0065369F" w:rsidP="000F2326">
      <w:pPr>
        <w:pStyle w:val="BodyText"/>
        <w:ind w:right="1435"/>
        <w:jc w:val="both"/>
        <w:rPr>
          <w:bCs/>
        </w:rPr>
      </w:pPr>
      <w:r w:rsidRPr="00CC0607">
        <w:rPr>
          <w:bCs/>
        </w:rPr>
        <w:t xml:space="preserve">Data from </w:t>
      </w:r>
      <w:r w:rsidR="000D03EA">
        <w:rPr>
          <w:bCs/>
        </w:rPr>
        <w:t>February</w:t>
      </w:r>
      <w:r w:rsidRPr="00CC0607">
        <w:rPr>
          <w:bCs/>
        </w:rPr>
        <w:t xml:space="preserve"> 202</w:t>
      </w:r>
      <w:r w:rsidR="000D03EA">
        <w:rPr>
          <w:bCs/>
        </w:rPr>
        <w:t>6</w:t>
      </w:r>
      <w:r w:rsidRPr="00CC0607">
        <w:rPr>
          <w:bCs/>
        </w:rPr>
        <w:t xml:space="preserve"> shows that 9</w:t>
      </w:r>
      <w:r w:rsidR="0041244B">
        <w:rPr>
          <w:bCs/>
        </w:rPr>
        <w:t>7</w:t>
      </w:r>
      <w:r w:rsidR="00FF584E" w:rsidRPr="00CC0607">
        <w:rPr>
          <w:bCs/>
        </w:rPr>
        <w:t>.</w:t>
      </w:r>
      <w:r w:rsidR="0041244B">
        <w:rPr>
          <w:bCs/>
        </w:rPr>
        <w:t>4</w:t>
      </w:r>
      <w:r w:rsidRPr="00CC0607">
        <w:rPr>
          <w:bCs/>
        </w:rPr>
        <w:t xml:space="preserve">% </w:t>
      </w:r>
      <w:r w:rsidR="00F53D6B" w:rsidRPr="00CC0607">
        <w:rPr>
          <w:bCs/>
        </w:rPr>
        <w:t xml:space="preserve">of Knowsley diagnosed Dementia population </w:t>
      </w:r>
      <w:r w:rsidR="00FE1790" w:rsidRPr="00CC0607">
        <w:rPr>
          <w:bCs/>
        </w:rPr>
        <w:t xml:space="preserve">(all ages) </w:t>
      </w:r>
      <w:r w:rsidR="00F53D6B" w:rsidRPr="00CC0607">
        <w:rPr>
          <w:bCs/>
        </w:rPr>
        <w:t>i</w:t>
      </w:r>
      <w:r w:rsidR="009C36B8" w:rsidRPr="00CC0607">
        <w:rPr>
          <w:bCs/>
        </w:rPr>
        <w:t>s from a White ethnic group, 1.</w:t>
      </w:r>
      <w:r w:rsidR="00432400">
        <w:rPr>
          <w:bCs/>
        </w:rPr>
        <w:t>4</w:t>
      </w:r>
      <w:r w:rsidR="009C36B8" w:rsidRPr="00CC0607">
        <w:rPr>
          <w:bCs/>
        </w:rPr>
        <w:t>% is from a</w:t>
      </w:r>
      <w:r w:rsidR="0022178F" w:rsidRPr="00CC0607">
        <w:rPr>
          <w:bCs/>
        </w:rPr>
        <w:t xml:space="preserve"> minority ethnic group </w:t>
      </w:r>
      <w:r w:rsidR="0029389A" w:rsidRPr="00CC0607">
        <w:rPr>
          <w:bCs/>
        </w:rPr>
        <w:t>(</w:t>
      </w:r>
      <w:r w:rsidR="001E5BA8" w:rsidRPr="00CC0607">
        <w:rPr>
          <w:bCs/>
        </w:rPr>
        <w:t>1</w:t>
      </w:r>
      <w:r w:rsidR="007A777C">
        <w:rPr>
          <w:bCs/>
        </w:rPr>
        <w:t>7</w:t>
      </w:r>
      <w:r w:rsidR="001E5BA8" w:rsidRPr="00CC0607">
        <w:rPr>
          <w:bCs/>
        </w:rPr>
        <w:t xml:space="preserve"> people) </w:t>
      </w:r>
      <w:r w:rsidR="0022178F" w:rsidRPr="00CC0607">
        <w:rPr>
          <w:bCs/>
        </w:rPr>
        <w:t xml:space="preserve">and </w:t>
      </w:r>
      <w:r w:rsidR="00222A8A">
        <w:rPr>
          <w:bCs/>
        </w:rPr>
        <w:t>1.1</w:t>
      </w:r>
      <w:r w:rsidR="0022178F" w:rsidRPr="00CC0607">
        <w:rPr>
          <w:bCs/>
        </w:rPr>
        <w:t>%</w:t>
      </w:r>
      <w:r w:rsidR="006E3C26" w:rsidRPr="00CC0607">
        <w:rPr>
          <w:bCs/>
        </w:rPr>
        <w:t xml:space="preserve"> have a not stated or defined ethnic group.</w:t>
      </w:r>
      <w:r w:rsidR="000139A9" w:rsidRPr="00CC0607">
        <w:rPr>
          <w:bCs/>
          <w:vertAlign w:val="superscript"/>
        </w:rPr>
        <w:t>15</w:t>
      </w:r>
      <w:r w:rsidR="0022178F">
        <w:rPr>
          <w:bCs/>
        </w:rPr>
        <w:t xml:space="preserve"> </w:t>
      </w:r>
      <w:r w:rsidR="00F53D6B">
        <w:rPr>
          <w:bCs/>
        </w:rPr>
        <w:t xml:space="preserve"> </w:t>
      </w:r>
      <w:r w:rsidR="005049DA">
        <w:rPr>
          <w:bCs/>
        </w:rPr>
        <w:t xml:space="preserve"> </w:t>
      </w:r>
    </w:p>
    <w:p w14:paraId="20C0DA54" w14:textId="77777777" w:rsidR="003638E7" w:rsidRDefault="003638E7" w:rsidP="00A134FE">
      <w:pPr>
        <w:pStyle w:val="BodyText"/>
        <w:ind w:right="1435"/>
        <w:jc w:val="both"/>
        <w:rPr>
          <w:bCs/>
        </w:rPr>
      </w:pPr>
    </w:p>
    <w:p w14:paraId="1EE15945" w14:textId="30BE3380" w:rsidR="003638E7" w:rsidRPr="005701BA" w:rsidRDefault="00BC3F4F" w:rsidP="00383DE2">
      <w:pPr>
        <w:pStyle w:val="BodyText"/>
        <w:spacing w:line="276" w:lineRule="auto"/>
        <w:ind w:right="1435"/>
        <w:jc w:val="both"/>
        <w:rPr>
          <w:b/>
        </w:rPr>
      </w:pPr>
      <w:bookmarkStart w:id="20" w:name="_Toc236218959"/>
      <w:r>
        <w:rPr>
          <w:rStyle w:val="Heading2Char"/>
        </w:rPr>
        <w:lastRenderedPageBreak/>
        <w:t>7</w:t>
      </w:r>
      <w:r w:rsidR="003638E7" w:rsidRPr="00017F28">
        <w:rPr>
          <w:rStyle w:val="Heading2Char"/>
        </w:rPr>
        <w:t>.</w:t>
      </w:r>
      <w:r w:rsidR="005701BA" w:rsidRPr="00017F28">
        <w:rPr>
          <w:rStyle w:val="Heading2Char"/>
        </w:rPr>
        <w:t>8</w:t>
      </w:r>
      <w:r w:rsidR="00017F28" w:rsidRPr="00017F28">
        <w:rPr>
          <w:rStyle w:val="Heading2Char"/>
        </w:rPr>
        <w:tab/>
      </w:r>
      <w:r w:rsidR="003638E7" w:rsidRPr="00017F28">
        <w:rPr>
          <w:rStyle w:val="Heading2Char"/>
        </w:rPr>
        <w:t>Usual residence of people with diagnosed Dementia</w:t>
      </w:r>
      <w:bookmarkEnd w:id="20"/>
      <w:r w:rsidR="003638E7">
        <w:rPr>
          <w:b/>
        </w:rPr>
        <w:t xml:space="preserve"> </w:t>
      </w:r>
      <w:r w:rsidR="003638E7" w:rsidRPr="003E76EF">
        <w:rPr>
          <w:b/>
          <w:vertAlign w:val="superscript"/>
        </w:rPr>
        <w:t>15</w:t>
      </w:r>
    </w:p>
    <w:p w14:paraId="5C7B308E" w14:textId="77777777" w:rsidR="00CC6BA4" w:rsidRDefault="00CC6BA4" w:rsidP="00A134FE">
      <w:pPr>
        <w:pStyle w:val="BodyText"/>
        <w:ind w:right="1435" w:firstLine="142"/>
        <w:jc w:val="both"/>
        <w:rPr>
          <w:b/>
          <w:vertAlign w:val="superscript"/>
        </w:rPr>
      </w:pPr>
    </w:p>
    <w:p w14:paraId="13CE7E6C" w14:textId="7EFBBBFE" w:rsidR="00CC6BA4" w:rsidRPr="00CC6BA4" w:rsidRDefault="00CC6BA4" w:rsidP="007018DD">
      <w:pPr>
        <w:pStyle w:val="BodyText"/>
        <w:ind w:right="1435"/>
        <w:jc w:val="both"/>
        <w:rPr>
          <w:bCs/>
        </w:rPr>
      </w:pPr>
      <w:r w:rsidRPr="00CC0607">
        <w:rPr>
          <w:bCs/>
        </w:rPr>
        <w:t xml:space="preserve">Data on </w:t>
      </w:r>
      <w:r w:rsidR="006B4128" w:rsidRPr="00CC0607">
        <w:rPr>
          <w:bCs/>
        </w:rPr>
        <w:t>type of residence of people diagnosed with Dementia shows that</w:t>
      </w:r>
      <w:r w:rsidR="004F7D01" w:rsidRPr="00CC0607">
        <w:rPr>
          <w:bCs/>
        </w:rPr>
        <w:t xml:space="preserve"> in </w:t>
      </w:r>
      <w:r w:rsidR="0058448F">
        <w:rPr>
          <w:bCs/>
        </w:rPr>
        <w:t>February</w:t>
      </w:r>
      <w:r w:rsidR="004F7D01" w:rsidRPr="00CC0607">
        <w:rPr>
          <w:bCs/>
        </w:rPr>
        <w:t xml:space="preserve"> 202</w:t>
      </w:r>
      <w:r w:rsidR="0058448F">
        <w:rPr>
          <w:bCs/>
        </w:rPr>
        <w:t>6</w:t>
      </w:r>
      <w:r w:rsidR="004F7D01" w:rsidRPr="00CC0607">
        <w:rPr>
          <w:bCs/>
        </w:rPr>
        <w:t>,</w:t>
      </w:r>
      <w:r w:rsidR="007B7F01" w:rsidRPr="00CC0607">
        <w:rPr>
          <w:bCs/>
        </w:rPr>
        <w:t xml:space="preserve"> the majority</w:t>
      </w:r>
      <w:r w:rsidR="004F7D01" w:rsidRPr="00CC0607">
        <w:rPr>
          <w:bCs/>
        </w:rPr>
        <w:t xml:space="preserve"> </w:t>
      </w:r>
      <w:r w:rsidR="0058448F">
        <w:rPr>
          <w:bCs/>
        </w:rPr>
        <w:t>60</w:t>
      </w:r>
      <w:r w:rsidR="004F7D01" w:rsidRPr="00CC0607">
        <w:rPr>
          <w:bCs/>
        </w:rPr>
        <w:t>%</w:t>
      </w:r>
      <w:r w:rsidR="00D92A94" w:rsidRPr="00CC0607">
        <w:rPr>
          <w:bCs/>
        </w:rPr>
        <w:t xml:space="preserve"> </w:t>
      </w:r>
      <w:r w:rsidR="007B7F01" w:rsidRPr="00CC0607">
        <w:rPr>
          <w:bCs/>
        </w:rPr>
        <w:t>(</w:t>
      </w:r>
      <w:r w:rsidR="001B1B5C">
        <w:rPr>
          <w:bCs/>
        </w:rPr>
        <w:t>700</w:t>
      </w:r>
      <w:r w:rsidR="007B7F01" w:rsidRPr="00CC0607">
        <w:rPr>
          <w:bCs/>
        </w:rPr>
        <w:t xml:space="preserve">) </w:t>
      </w:r>
      <w:r w:rsidR="00D92A94" w:rsidRPr="00CC0607">
        <w:rPr>
          <w:bCs/>
        </w:rPr>
        <w:t xml:space="preserve">do not have </w:t>
      </w:r>
      <w:r w:rsidR="006D138B" w:rsidRPr="00CC0607">
        <w:rPr>
          <w:bCs/>
        </w:rPr>
        <w:t xml:space="preserve">their recent residency </w:t>
      </w:r>
      <w:r w:rsidR="0082390F" w:rsidRPr="00CC0607">
        <w:rPr>
          <w:bCs/>
        </w:rPr>
        <w:t xml:space="preserve">type recorded. </w:t>
      </w:r>
      <w:r w:rsidR="00BB35F8" w:rsidRPr="00CC0607">
        <w:rPr>
          <w:bCs/>
        </w:rPr>
        <w:t>There are 2</w:t>
      </w:r>
      <w:r w:rsidR="00C13C92">
        <w:rPr>
          <w:bCs/>
        </w:rPr>
        <w:t>6</w:t>
      </w:r>
      <w:r w:rsidR="00BB35F8" w:rsidRPr="00CC0607">
        <w:rPr>
          <w:bCs/>
        </w:rPr>
        <w:t>5 (2</w:t>
      </w:r>
      <w:r w:rsidR="00B71EBE">
        <w:rPr>
          <w:bCs/>
        </w:rPr>
        <w:t>3</w:t>
      </w:r>
      <w:r w:rsidR="00BB35F8" w:rsidRPr="00CC0607">
        <w:rPr>
          <w:bCs/>
        </w:rPr>
        <w:t xml:space="preserve">%) of </w:t>
      </w:r>
      <w:r w:rsidR="009D59F2" w:rsidRPr="00CC0607">
        <w:rPr>
          <w:bCs/>
        </w:rPr>
        <w:t>diagnosed people live in a residential care home</w:t>
      </w:r>
      <w:r w:rsidR="00A54809" w:rsidRPr="00CC0607">
        <w:rPr>
          <w:bCs/>
        </w:rPr>
        <w:t>, with 1</w:t>
      </w:r>
      <w:r w:rsidR="00DB7ED1">
        <w:rPr>
          <w:bCs/>
        </w:rPr>
        <w:t>05</w:t>
      </w:r>
      <w:r w:rsidR="00A54809" w:rsidRPr="00CC0607">
        <w:rPr>
          <w:bCs/>
        </w:rPr>
        <w:t xml:space="preserve"> (</w:t>
      </w:r>
      <w:r w:rsidR="00DB7ED1">
        <w:rPr>
          <w:bCs/>
        </w:rPr>
        <w:t>9</w:t>
      </w:r>
      <w:r w:rsidR="00A54809" w:rsidRPr="00CC0607">
        <w:rPr>
          <w:bCs/>
        </w:rPr>
        <w:t>%) who live in a Nursing home.</w:t>
      </w:r>
      <w:r w:rsidR="00C54B60" w:rsidRPr="00CC0607">
        <w:rPr>
          <w:bCs/>
        </w:rPr>
        <w:t xml:space="preserve"> There are </w:t>
      </w:r>
      <w:r w:rsidR="00621DAE" w:rsidRPr="00CC0607">
        <w:rPr>
          <w:bCs/>
        </w:rPr>
        <w:t>90</w:t>
      </w:r>
      <w:r w:rsidR="00C54B60" w:rsidRPr="00CC0607">
        <w:rPr>
          <w:bCs/>
        </w:rPr>
        <w:t xml:space="preserve"> </w:t>
      </w:r>
      <w:r w:rsidR="000E6267" w:rsidRPr="00CC0607">
        <w:rPr>
          <w:bCs/>
        </w:rPr>
        <w:t xml:space="preserve">(8%) </w:t>
      </w:r>
      <w:r w:rsidR="00C13B61" w:rsidRPr="00CC0607">
        <w:rPr>
          <w:bCs/>
        </w:rPr>
        <w:t xml:space="preserve">diagnosed </w:t>
      </w:r>
      <w:r w:rsidR="00C54B60" w:rsidRPr="00CC0607">
        <w:rPr>
          <w:bCs/>
        </w:rPr>
        <w:t>people who live in</w:t>
      </w:r>
      <w:r w:rsidR="000E6267" w:rsidRPr="00CC0607">
        <w:rPr>
          <w:bCs/>
        </w:rPr>
        <w:t xml:space="preserve"> a private residence</w:t>
      </w:r>
      <w:r w:rsidR="00C13B61" w:rsidRPr="00CC0607">
        <w:rPr>
          <w:bCs/>
        </w:rPr>
        <w:t>.</w:t>
      </w:r>
      <w:r w:rsidR="004F7D01">
        <w:rPr>
          <w:bCs/>
        </w:rPr>
        <w:t xml:space="preserve"> </w:t>
      </w:r>
    </w:p>
    <w:p w14:paraId="5DE0DB55" w14:textId="77777777" w:rsidR="00AD24EE" w:rsidRDefault="00AD24EE" w:rsidP="00A134FE">
      <w:pPr>
        <w:pStyle w:val="BodyText"/>
        <w:ind w:right="1435" w:firstLine="142"/>
        <w:jc w:val="both"/>
        <w:rPr>
          <w:b/>
        </w:rPr>
      </w:pPr>
    </w:p>
    <w:p w14:paraId="01062BA5" w14:textId="715D7724" w:rsidR="00CB6EC2" w:rsidRDefault="00BC3F4F" w:rsidP="007018DD">
      <w:pPr>
        <w:pStyle w:val="Heading2"/>
        <w:ind w:left="0"/>
      </w:pPr>
      <w:bookmarkStart w:id="21" w:name="_Toc236218960"/>
      <w:r>
        <w:t>7</w:t>
      </w:r>
      <w:r w:rsidR="00945806" w:rsidRPr="00CB6EC2">
        <w:t>.</w:t>
      </w:r>
      <w:r w:rsidR="005701BA">
        <w:t>9</w:t>
      </w:r>
      <w:r w:rsidR="00945806" w:rsidRPr="00CB6EC2">
        <w:tab/>
        <w:t>Dementia d</w:t>
      </w:r>
      <w:r w:rsidR="007471FA" w:rsidRPr="00CB6EC2">
        <w:t>iagnosis rate</w:t>
      </w:r>
      <w:bookmarkEnd w:id="21"/>
    </w:p>
    <w:p w14:paraId="1DAC1614" w14:textId="77777777" w:rsidR="004D6207" w:rsidRPr="00D81A30" w:rsidRDefault="004D6207" w:rsidP="007018DD">
      <w:pPr>
        <w:pStyle w:val="BodyText"/>
      </w:pPr>
    </w:p>
    <w:p w14:paraId="64C4FB7B" w14:textId="04ED2052" w:rsidR="007146D1" w:rsidRPr="00CC0607" w:rsidRDefault="007146D1" w:rsidP="00FE1D3A">
      <w:pPr>
        <w:pStyle w:val="BodyText"/>
        <w:ind w:right="1435"/>
        <w:jc w:val="both"/>
        <w:rPr>
          <w:bCs/>
        </w:rPr>
      </w:pPr>
      <w:r w:rsidRPr="00CC0607">
        <w:rPr>
          <w:bCs/>
        </w:rPr>
        <w:t>A signifi</w:t>
      </w:r>
      <w:r w:rsidR="008A4752" w:rsidRPr="00CC0607">
        <w:rPr>
          <w:bCs/>
        </w:rPr>
        <w:t>cant</w:t>
      </w:r>
      <w:r w:rsidRPr="00CC0607">
        <w:rPr>
          <w:bCs/>
        </w:rPr>
        <w:t xml:space="preserve"> number of people nationally and locally </w:t>
      </w:r>
      <w:r w:rsidR="00106E0A">
        <w:rPr>
          <w:bCs/>
        </w:rPr>
        <w:t xml:space="preserve">have dementia but have not been </w:t>
      </w:r>
      <w:r w:rsidR="008A4752" w:rsidRPr="00CC0607">
        <w:rPr>
          <w:bCs/>
        </w:rPr>
        <w:t>diagnos</w:t>
      </w:r>
      <w:r w:rsidR="00106E0A">
        <w:rPr>
          <w:bCs/>
        </w:rPr>
        <w:t>ed</w:t>
      </w:r>
      <w:r w:rsidR="008A4752" w:rsidRPr="00CC0607">
        <w:rPr>
          <w:bCs/>
        </w:rPr>
        <w:t xml:space="preserve"> and </w:t>
      </w:r>
      <w:r w:rsidR="00C771FD">
        <w:rPr>
          <w:bCs/>
        </w:rPr>
        <w:t>so</w:t>
      </w:r>
      <w:r w:rsidR="00C771FD" w:rsidRPr="00CC0607">
        <w:rPr>
          <w:bCs/>
        </w:rPr>
        <w:t xml:space="preserve"> </w:t>
      </w:r>
      <w:r w:rsidR="00344636" w:rsidRPr="00CC0607">
        <w:rPr>
          <w:bCs/>
        </w:rPr>
        <w:t>go unsupported</w:t>
      </w:r>
      <w:r w:rsidR="00C771FD">
        <w:rPr>
          <w:bCs/>
        </w:rPr>
        <w:t>.</w:t>
      </w:r>
      <w:r w:rsidR="008A4752" w:rsidRPr="00CC0607">
        <w:rPr>
          <w:bCs/>
        </w:rPr>
        <w:t xml:space="preserve"> </w:t>
      </w:r>
      <w:r w:rsidR="00C771FD">
        <w:rPr>
          <w:bCs/>
        </w:rPr>
        <w:t>Early d</w:t>
      </w:r>
      <w:r w:rsidR="008A4752" w:rsidRPr="00CC0607">
        <w:rPr>
          <w:bCs/>
        </w:rPr>
        <w:t>iagnosis is an essential element in fighting the illness</w:t>
      </w:r>
      <w:r w:rsidR="00C771FD">
        <w:rPr>
          <w:bCs/>
        </w:rPr>
        <w:t xml:space="preserve"> and mitigating the im</w:t>
      </w:r>
      <w:r w:rsidR="003F6308">
        <w:rPr>
          <w:bCs/>
        </w:rPr>
        <w:t>pacts</w:t>
      </w:r>
      <w:r w:rsidR="008A4752" w:rsidRPr="00CC0607">
        <w:rPr>
          <w:bCs/>
        </w:rPr>
        <w:t>.  T</w:t>
      </w:r>
      <w:r w:rsidRPr="00CC0607">
        <w:rPr>
          <w:bCs/>
        </w:rPr>
        <w:t xml:space="preserve">here is </w:t>
      </w:r>
      <w:r w:rsidR="00B2726D">
        <w:rPr>
          <w:bCs/>
        </w:rPr>
        <w:t>a significant</w:t>
      </w:r>
      <w:r w:rsidR="006A0716" w:rsidRPr="00CC0607">
        <w:rPr>
          <w:bCs/>
        </w:rPr>
        <w:t xml:space="preserve"> </w:t>
      </w:r>
      <w:r w:rsidRPr="00CC0607">
        <w:rPr>
          <w:bCs/>
        </w:rPr>
        <w:t xml:space="preserve">gap between the expected number of </w:t>
      </w:r>
      <w:r w:rsidR="009D7484">
        <w:rPr>
          <w:bCs/>
        </w:rPr>
        <w:t>living with dementia</w:t>
      </w:r>
      <w:r w:rsidRPr="00CC0607">
        <w:rPr>
          <w:bCs/>
        </w:rPr>
        <w:t xml:space="preserve"> and the actual numbers diagnosed.</w:t>
      </w:r>
      <w:r w:rsidR="00CA390E" w:rsidRPr="00CC0607">
        <w:rPr>
          <w:bCs/>
        </w:rPr>
        <w:t xml:space="preserve"> </w:t>
      </w:r>
      <w:r w:rsidR="006737B9">
        <w:rPr>
          <w:bCs/>
        </w:rPr>
        <w:t>D</w:t>
      </w:r>
      <w:r w:rsidR="004D06FC" w:rsidRPr="00CC0607">
        <w:rPr>
          <w:bCs/>
        </w:rPr>
        <w:t xml:space="preserve">ata from </w:t>
      </w:r>
      <w:r w:rsidR="006737B9">
        <w:rPr>
          <w:bCs/>
        </w:rPr>
        <w:t>February</w:t>
      </w:r>
      <w:r w:rsidR="004D06FC" w:rsidRPr="00CC0607">
        <w:rPr>
          <w:bCs/>
        </w:rPr>
        <w:t xml:space="preserve"> 202</w:t>
      </w:r>
      <w:r w:rsidR="006737B9">
        <w:rPr>
          <w:bCs/>
        </w:rPr>
        <w:t>6</w:t>
      </w:r>
      <w:r w:rsidR="00857E90" w:rsidRPr="00CC0607">
        <w:rPr>
          <w:bCs/>
        </w:rPr>
        <w:t xml:space="preserve"> shows</w:t>
      </w:r>
      <w:r w:rsidR="00857E90" w:rsidRPr="00CC0607">
        <w:t xml:space="preserve"> that 1</w:t>
      </w:r>
      <w:r w:rsidR="003F7079">
        <w:t xml:space="preserve">715 </w:t>
      </w:r>
      <w:r w:rsidR="00E568AD" w:rsidRPr="00CC0607">
        <w:t xml:space="preserve">people </w:t>
      </w:r>
      <w:r w:rsidR="00AE5775" w:rsidRPr="00CC0607">
        <w:t xml:space="preserve">aged 65+ </w:t>
      </w:r>
      <w:r w:rsidR="00E568AD" w:rsidRPr="00CC0607">
        <w:t xml:space="preserve">were </w:t>
      </w:r>
      <w:r w:rsidR="00AE5775" w:rsidRPr="00CC0607">
        <w:t>estimated</w:t>
      </w:r>
      <w:r w:rsidR="00654567">
        <w:t xml:space="preserve"> to</w:t>
      </w:r>
      <w:r w:rsidR="00AE5775" w:rsidRPr="00CC0607">
        <w:t xml:space="preserve"> have </w:t>
      </w:r>
      <w:r w:rsidR="00AE5775" w:rsidRPr="00CC0607">
        <w:rPr>
          <w:bCs/>
        </w:rPr>
        <w:t>dementia in Knowsley Sub-ICB</w:t>
      </w:r>
      <w:r w:rsidR="00AC698C" w:rsidRPr="00CC0607">
        <w:rPr>
          <w:bCs/>
        </w:rPr>
        <w:t>, with 1</w:t>
      </w:r>
      <w:r w:rsidR="00747EF8">
        <w:rPr>
          <w:bCs/>
        </w:rPr>
        <w:t>138</w:t>
      </w:r>
      <w:r w:rsidR="00115AA3" w:rsidRPr="00CC0607">
        <w:rPr>
          <w:bCs/>
        </w:rPr>
        <w:t xml:space="preserve"> people </w:t>
      </w:r>
      <w:r w:rsidR="004F152F" w:rsidRPr="00CC0607">
        <w:rPr>
          <w:bCs/>
        </w:rPr>
        <w:t>having a diagnosis</w:t>
      </w:r>
      <w:r w:rsidR="001B0913" w:rsidRPr="00CC0607">
        <w:rPr>
          <w:bCs/>
        </w:rPr>
        <w:t xml:space="preserve">. This </w:t>
      </w:r>
      <w:r w:rsidR="006973A3" w:rsidRPr="00CC0607">
        <w:rPr>
          <w:bCs/>
        </w:rPr>
        <w:t xml:space="preserve">equates to </w:t>
      </w:r>
      <w:r w:rsidR="00304ABA" w:rsidRPr="00CC0607">
        <w:rPr>
          <w:bCs/>
        </w:rPr>
        <w:t>5</w:t>
      </w:r>
      <w:r w:rsidR="0009313F">
        <w:rPr>
          <w:bCs/>
        </w:rPr>
        <w:t>77</w:t>
      </w:r>
      <w:r w:rsidR="006973A3" w:rsidRPr="00CC0607">
        <w:rPr>
          <w:bCs/>
        </w:rPr>
        <w:t xml:space="preserve"> people estimated in Knowsley to have dementia but </w:t>
      </w:r>
      <w:r w:rsidR="006435C6" w:rsidRPr="00CC0607">
        <w:rPr>
          <w:bCs/>
        </w:rPr>
        <w:t>not yet having a diagnosis.</w:t>
      </w:r>
      <w:r w:rsidR="00B6713C">
        <w:rPr>
          <w:bCs/>
        </w:rPr>
        <w:t xml:space="preserve">  This </w:t>
      </w:r>
      <w:r w:rsidR="004D2E80">
        <w:rPr>
          <w:bCs/>
        </w:rPr>
        <w:t xml:space="preserve">means that two in three (66.3%) of </w:t>
      </w:r>
      <w:r w:rsidR="001E78F6">
        <w:rPr>
          <w:bCs/>
        </w:rPr>
        <w:t xml:space="preserve">those estimated to have </w:t>
      </w:r>
      <w:r w:rsidR="00086492">
        <w:rPr>
          <w:bCs/>
        </w:rPr>
        <w:t>d</w:t>
      </w:r>
      <w:r w:rsidR="001E78F6">
        <w:rPr>
          <w:bCs/>
        </w:rPr>
        <w:t>ementia in Knowsley, have a diagn</w:t>
      </w:r>
      <w:r w:rsidR="002949CF">
        <w:rPr>
          <w:bCs/>
        </w:rPr>
        <w:t>osis</w:t>
      </w:r>
      <w:r w:rsidR="001D1D92">
        <w:rPr>
          <w:bCs/>
        </w:rPr>
        <w:t>, which is</w:t>
      </w:r>
      <w:r w:rsidR="004514C5">
        <w:rPr>
          <w:bCs/>
        </w:rPr>
        <w:t xml:space="preserve"> </w:t>
      </w:r>
      <w:proofErr w:type="gramStart"/>
      <w:r w:rsidR="00C2138A">
        <w:rPr>
          <w:bCs/>
        </w:rPr>
        <w:t>similar to</w:t>
      </w:r>
      <w:proofErr w:type="gramEnd"/>
      <w:r w:rsidR="00C2138A">
        <w:rPr>
          <w:bCs/>
        </w:rPr>
        <w:t xml:space="preserve"> </w:t>
      </w:r>
      <w:r w:rsidR="004514C5">
        <w:rPr>
          <w:bCs/>
        </w:rPr>
        <w:t xml:space="preserve">the national </w:t>
      </w:r>
      <w:r w:rsidR="000C7E58">
        <w:rPr>
          <w:bCs/>
        </w:rPr>
        <w:t>average</w:t>
      </w:r>
      <w:r w:rsidR="00D677C9">
        <w:rPr>
          <w:bCs/>
        </w:rPr>
        <w:t xml:space="preserve">. </w:t>
      </w:r>
    </w:p>
    <w:p w14:paraId="05AE74AC" w14:textId="77777777" w:rsidR="009F1316" w:rsidRPr="00CC0607" w:rsidRDefault="009F1316" w:rsidP="00790CCC">
      <w:pPr>
        <w:pStyle w:val="BodyText"/>
        <w:ind w:right="1435"/>
        <w:jc w:val="both"/>
        <w:rPr>
          <w:bCs/>
        </w:rPr>
      </w:pPr>
    </w:p>
    <w:p w14:paraId="0E9E407F" w14:textId="4E26E75A" w:rsidR="00283B05" w:rsidRPr="00D858DA" w:rsidRDefault="002949CF" w:rsidP="00FE1D3A">
      <w:pPr>
        <w:pStyle w:val="BodyText"/>
        <w:ind w:right="1435"/>
        <w:jc w:val="both"/>
        <w:rPr>
          <w:bCs/>
        </w:rPr>
      </w:pPr>
      <w:r>
        <w:rPr>
          <w:bCs/>
        </w:rPr>
        <w:t>The data</w:t>
      </w:r>
      <w:r w:rsidR="00533F15">
        <w:rPr>
          <w:bCs/>
        </w:rPr>
        <w:t xml:space="preserve"> from February 2026 shows a</w:t>
      </w:r>
      <w:r w:rsidR="00030C41">
        <w:rPr>
          <w:bCs/>
        </w:rPr>
        <w:t>n</w:t>
      </w:r>
      <w:r w:rsidR="00533F15">
        <w:rPr>
          <w:bCs/>
        </w:rPr>
        <w:t xml:space="preserve"> improvement </w:t>
      </w:r>
      <w:r w:rsidR="006E4098">
        <w:rPr>
          <w:bCs/>
        </w:rPr>
        <w:t>in the</w:t>
      </w:r>
      <w:r w:rsidR="00533F15">
        <w:rPr>
          <w:bCs/>
        </w:rPr>
        <w:t xml:space="preserve"> 2025 annual data</w:t>
      </w:r>
      <w:r w:rsidR="00D25596">
        <w:rPr>
          <w:bCs/>
        </w:rPr>
        <w:t xml:space="preserve"> where </w:t>
      </w:r>
      <w:r w:rsidR="00344636" w:rsidRPr="00CC0607">
        <w:rPr>
          <w:bCs/>
        </w:rPr>
        <w:t>estimated diagnosis rate</w:t>
      </w:r>
      <w:r w:rsidR="00157F33" w:rsidRPr="00CC0607">
        <w:rPr>
          <w:bCs/>
        </w:rPr>
        <w:t xml:space="preserve"> of those aged 65 and over</w:t>
      </w:r>
      <w:r w:rsidR="00344636" w:rsidRPr="00CC0607">
        <w:rPr>
          <w:bCs/>
        </w:rPr>
        <w:t xml:space="preserve"> </w:t>
      </w:r>
      <w:r w:rsidR="00D25596">
        <w:rPr>
          <w:bCs/>
        </w:rPr>
        <w:t>was</w:t>
      </w:r>
      <w:r w:rsidR="00344636" w:rsidRPr="00CC0607">
        <w:rPr>
          <w:bCs/>
        </w:rPr>
        <w:t xml:space="preserve"> </w:t>
      </w:r>
      <w:r w:rsidR="00854530" w:rsidRPr="00CC0607">
        <w:rPr>
          <w:bCs/>
        </w:rPr>
        <w:t>6</w:t>
      </w:r>
      <w:r w:rsidR="004D2C22" w:rsidRPr="00CC0607">
        <w:rPr>
          <w:bCs/>
        </w:rPr>
        <w:t>4</w:t>
      </w:r>
      <w:r w:rsidR="000315E8" w:rsidRPr="00CC0607">
        <w:rPr>
          <w:bCs/>
        </w:rPr>
        <w:t>.</w:t>
      </w:r>
      <w:r w:rsidR="004D2C22" w:rsidRPr="00CC0607">
        <w:rPr>
          <w:bCs/>
        </w:rPr>
        <w:t>1</w:t>
      </w:r>
      <w:r w:rsidR="00344636" w:rsidRPr="00CC0607">
        <w:rPr>
          <w:bCs/>
        </w:rPr>
        <w:t xml:space="preserve">% in </w:t>
      </w:r>
      <w:r w:rsidR="00994944" w:rsidRPr="00CC0607">
        <w:rPr>
          <w:bCs/>
        </w:rPr>
        <w:t>Knowsley</w:t>
      </w:r>
      <w:r w:rsidR="00D81A30" w:rsidRPr="00CC0607">
        <w:rPr>
          <w:bCs/>
        </w:rPr>
        <w:t xml:space="preserve"> </w:t>
      </w:r>
      <w:r w:rsidR="004D2C22" w:rsidRPr="00CC0607">
        <w:rPr>
          <w:bCs/>
        </w:rPr>
        <w:t>Local Authority</w:t>
      </w:r>
      <w:r w:rsidR="00994944" w:rsidRPr="00CC0607">
        <w:rPr>
          <w:bCs/>
        </w:rPr>
        <w:t>;</w:t>
      </w:r>
      <w:r w:rsidR="00344636" w:rsidRPr="00CC0607">
        <w:rPr>
          <w:bCs/>
        </w:rPr>
        <w:t xml:space="preserve"> this is </w:t>
      </w:r>
      <w:r w:rsidR="00854530" w:rsidRPr="00CC0607">
        <w:rPr>
          <w:bCs/>
        </w:rPr>
        <w:t xml:space="preserve">lower than </w:t>
      </w:r>
      <w:r w:rsidR="00344636" w:rsidRPr="00CC0607">
        <w:rPr>
          <w:bCs/>
        </w:rPr>
        <w:t>the England 6</w:t>
      </w:r>
      <w:r w:rsidR="003135FF" w:rsidRPr="00CC0607">
        <w:rPr>
          <w:bCs/>
        </w:rPr>
        <w:t>5</w:t>
      </w:r>
      <w:r w:rsidR="00344636" w:rsidRPr="00CC0607">
        <w:rPr>
          <w:bCs/>
        </w:rPr>
        <w:t>.</w:t>
      </w:r>
      <w:r w:rsidR="003135FF" w:rsidRPr="00CC0607">
        <w:rPr>
          <w:bCs/>
        </w:rPr>
        <w:t>6</w:t>
      </w:r>
      <w:r w:rsidR="00344636" w:rsidRPr="00CC0607">
        <w:rPr>
          <w:bCs/>
        </w:rPr>
        <w:t xml:space="preserve">% </w:t>
      </w:r>
      <w:r w:rsidR="0057732D" w:rsidRPr="00CC0607">
        <w:rPr>
          <w:bCs/>
        </w:rPr>
        <w:t xml:space="preserve">and </w:t>
      </w:r>
      <w:r w:rsidR="00344636" w:rsidRPr="00CC0607">
        <w:rPr>
          <w:bCs/>
        </w:rPr>
        <w:t xml:space="preserve">the North West rate of </w:t>
      </w:r>
      <w:r w:rsidR="0057732D" w:rsidRPr="00CC0607">
        <w:rPr>
          <w:bCs/>
        </w:rPr>
        <w:t>6</w:t>
      </w:r>
      <w:r w:rsidR="003135FF" w:rsidRPr="00CC0607">
        <w:rPr>
          <w:bCs/>
        </w:rPr>
        <w:t>9</w:t>
      </w:r>
      <w:r w:rsidR="0057732D" w:rsidRPr="00CC0607">
        <w:rPr>
          <w:bCs/>
        </w:rPr>
        <w:t>.</w:t>
      </w:r>
      <w:r w:rsidR="003135FF" w:rsidRPr="00CC0607">
        <w:rPr>
          <w:bCs/>
        </w:rPr>
        <w:t>4</w:t>
      </w:r>
      <w:r w:rsidR="00344636" w:rsidRPr="00CC0607">
        <w:rPr>
          <w:bCs/>
        </w:rPr>
        <w:t>%.</w:t>
      </w:r>
      <w:r w:rsidR="00C11572" w:rsidRPr="00CC0607">
        <w:rPr>
          <w:bCs/>
        </w:rPr>
        <w:t xml:space="preserve">   </w:t>
      </w:r>
      <w:r w:rsidR="00283B05" w:rsidRPr="00CC0607">
        <w:rPr>
          <w:bCs/>
        </w:rPr>
        <w:t>In 202</w:t>
      </w:r>
      <w:r w:rsidR="00B80F05" w:rsidRPr="00CC0607">
        <w:rPr>
          <w:bCs/>
        </w:rPr>
        <w:t>1</w:t>
      </w:r>
      <w:r w:rsidR="00283B05" w:rsidRPr="00CC0607">
        <w:rPr>
          <w:bCs/>
        </w:rPr>
        <w:t xml:space="preserve">, the dementia diagnosis rate dropped below </w:t>
      </w:r>
      <w:r w:rsidR="00731587">
        <w:rPr>
          <w:bCs/>
        </w:rPr>
        <w:t xml:space="preserve">the national </w:t>
      </w:r>
      <w:r w:rsidR="00B80F05" w:rsidRPr="00CC0607">
        <w:rPr>
          <w:bCs/>
        </w:rPr>
        <w:t xml:space="preserve">target </w:t>
      </w:r>
      <w:r w:rsidR="00283B05" w:rsidRPr="00CC0607">
        <w:rPr>
          <w:bCs/>
        </w:rPr>
        <w:t xml:space="preserve">for the first </w:t>
      </w:r>
      <w:r w:rsidR="0043577E" w:rsidRPr="00CC0607">
        <w:rPr>
          <w:bCs/>
        </w:rPr>
        <w:t xml:space="preserve">time, showing the impact </w:t>
      </w:r>
      <w:r w:rsidR="00283B05" w:rsidRPr="00CC0607">
        <w:rPr>
          <w:bCs/>
        </w:rPr>
        <w:t xml:space="preserve">that the pandemic has had on </w:t>
      </w:r>
      <w:r w:rsidR="00C96461" w:rsidRPr="00CC0607">
        <w:rPr>
          <w:bCs/>
        </w:rPr>
        <w:t xml:space="preserve">Dementia services </w:t>
      </w:r>
      <w:r w:rsidR="00283B05" w:rsidRPr="00CC0607">
        <w:rPr>
          <w:bCs/>
        </w:rPr>
        <w:t>and GP referrals into those services.</w:t>
      </w:r>
      <w:r w:rsidR="00124BB5" w:rsidRPr="00CC0607">
        <w:rPr>
          <w:bCs/>
        </w:rPr>
        <w:t xml:space="preserve"> Knowsley however have improved over the past few years and have narrowed </w:t>
      </w:r>
      <w:r w:rsidR="001640C7" w:rsidRPr="00CC0607">
        <w:rPr>
          <w:bCs/>
        </w:rPr>
        <w:t>gaps to both North West and England.</w:t>
      </w:r>
    </w:p>
    <w:p w14:paraId="39F09317" w14:textId="77777777" w:rsidR="00283B05" w:rsidRPr="007471FA" w:rsidRDefault="00283B05" w:rsidP="00344636">
      <w:pPr>
        <w:pStyle w:val="BodyText"/>
        <w:spacing w:before="197" w:line="276" w:lineRule="auto"/>
        <w:ind w:left="140" w:right="1437"/>
        <w:rPr>
          <w:color w:val="808080"/>
        </w:rPr>
      </w:pPr>
    </w:p>
    <w:p w14:paraId="6F61DC0F" w14:textId="7AF2438C" w:rsidR="007146D1" w:rsidRDefault="007146D1" w:rsidP="007146D1">
      <w:pPr>
        <w:spacing w:before="1"/>
        <w:ind w:left="720" w:right="1418"/>
        <w:jc w:val="both"/>
        <w:rPr>
          <w:i/>
          <w:sz w:val="18"/>
        </w:rPr>
      </w:pPr>
      <w:r w:rsidRPr="007146D1">
        <w:rPr>
          <w:i/>
          <w:sz w:val="18"/>
        </w:rPr>
        <w:t xml:space="preserve"> </w:t>
      </w:r>
      <w:r w:rsidR="00E60D80">
        <w:rPr>
          <w:noProof/>
        </w:rPr>
        <w:drawing>
          <wp:inline distT="0" distB="0" distL="0" distR="0" wp14:anchorId="3B165A9B" wp14:editId="3F624EFC">
            <wp:extent cx="4572000" cy="2743200"/>
            <wp:effectExtent l="0" t="0" r="0" b="0"/>
            <wp:docPr id="1099360012" name="Chart 1">
              <a:extLst xmlns:a="http://schemas.openxmlformats.org/drawingml/2006/main">
                <a:ext uri="{FF2B5EF4-FFF2-40B4-BE49-F238E27FC236}">
                  <a16:creationId xmlns:a16="http://schemas.microsoft.com/office/drawing/2014/main" id="{75EACF1D-C652-71D3-69DE-D5E86728AB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D36D86C" w14:textId="6CE19957" w:rsidR="007A4F3D" w:rsidRDefault="00FB2CF3" w:rsidP="00305BA0">
      <w:pPr>
        <w:spacing w:before="1"/>
        <w:ind w:left="720" w:right="1418"/>
        <w:jc w:val="both"/>
        <w:rPr>
          <w:i/>
          <w:sz w:val="18"/>
        </w:rPr>
      </w:pPr>
      <w:r>
        <w:rPr>
          <w:i/>
          <w:sz w:val="18"/>
        </w:rPr>
        <w:t xml:space="preserve">Figure </w:t>
      </w:r>
      <w:r w:rsidR="0017121D">
        <w:rPr>
          <w:i/>
          <w:sz w:val="18"/>
        </w:rPr>
        <w:t>4</w:t>
      </w:r>
      <w:r w:rsidR="007146D1">
        <w:rPr>
          <w:i/>
          <w:sz w:val="18"/>
        </w:rPr>
        <w:t xml:space="preserve">: Estimated Dementia diagnosis </w:t>
      </w:r>
      <w:r w:rsidR="00FE4DD6">
        <w:rPr>
          <w:i/>
          <w:sz w:val="18"/>
        </w:rPr>
        <w:t>rate</w:t>
      </w:r>
      <w:r w:rsidR="007146D1">
        <w:rPr>
          <w:i/>
          <w:sz w:val="18"/>
        </w:rPr>
        <w:t xml:space="preserve"> aged 65+ (</w:t>
      </w:r>
      <w:r w:rsidR="00BE764E">
        <w:rPr>
          <w:i/>
          <w:sz w:val="18"/>
        </w:rPr>
        <w:t>OHID</w:t>
      </w:r>
      <w:r w:rsidR="007146D1">
        <w:rPr>
          <w:i/>
          <w:sz w:val="18"/>
        </w:rPr>
        <w:t xml:space="preserve">, </w:t>
      </w:r>
      <w:r w:rsidR="00BE764E">
        <w:rPr>
          <w:i/>
          <w:sz w:val="18"/>
        </w:rPr>
        <w:t>Fingertips</w:t>
      </w:r>
      <w:r w:rsidR="007146D1">
        <w:rPr>
          <w:i/>
          <w:sz w:val="18"/>
        </w:rPr>
        <w:t xml:space="preserve"> 20</w:t>
      </w:r>
      <w:r w:rsidR="00BE764E">
        <w:rPr>
          <w:i/>
          <w:sz w:val="18"/>
        </w:rPr>
        <w:t>17</w:t>
      </w:r>
      <w:r w:rsidR="007146D1">
        <w:rPr>
          <w:i/>
          <w:sz w:val="18"/>
        </w:rPr>
        <w:t xml:space="preserve"> to 20</w:t>
      </w:r>
      <w:r w:rsidR="00BE764E">
        <w:rPr>
          <w:i/>
          <w:sz w:val="18"/>
        </w:rPr>
        <w:t>2</w:t>
      </w:r>
      <w:r w:rsidR="00E60D80">
        <w:rPr>
          <w:i/>
          <w:sz w:val="18"/>
        </w:rPr>
        <w:t>5</w:t>
      </w:r>
      <w:r w:rsidR="007146D1">
        <w:rPr>
          <w:i/>
          <w:sz w:val="18"/>
        </w:rPr>
        <w:t>)</w:t>
      </w:r>
    </w:p>
    <w:p w14:paraId="114014C6" w14:textId="77777777" w:rsidR="00973002" w:rsidRDefault="00973002" w:rsidP="00305BA0">
      <w:pPr>
        <w:spacing w:before="1"/>
        <w:ind w:left="720" w:right="1418"/>
        <w:jc w:val="both"/>
        <w:rPr>
          <w:i/>
          <w:sz w:val="18"/>
        </w:rPr>
      </w:pPr>
    </w:p>
    <w:p w14:paraId="0EAA1566" w14:textId="77777777" w:rsidR="00973002" w:rsidRDefault="00973002" w:rsidP="00305BA0">
      <w:pPr>
        <w:spacing w:before="1"/>
        <w:ind w:left="720" w:right="1418"/>
        <w:jc w:val="both"/>
        <w:rPr>
          <w:i/>
          <w:sz w:val="18"/>
        </w:rPr>
      </w:pPr>
    </w:p>
    <w:p w14:paraId="430DE627" w14:textId="77777777" w:rsidR="00973002" w:rsidRPr="00305BA0" w:rsidRDefault="00973002" w:rsidP="00305BA0">
      <w:pPr>
        <w:spacing w:before="1"/>
        <w:ind w:left="720" w:right="1418"/>
        <w:jc w:val="both"/>
        <w:rPr>
          <w:i/>
          <w:sz w:val="18"/>
        </w:rPr>
      </w:pPr>
    </w:p>
    <w:p w14:paraId="18298AF1" w14:textId="77A0004C" w:rsidR="007A4F3D" w:rsidRPr="00CB6EC2" w:rsidRDefault="00BC3F4F" w:rsidP="007A4F3D">
      <w:pPr>
        <w:pStyle w:val="Heading2"/>
      </w:pPr>
      <w:bookmarkStart w:id="22" w:name="_Toc236218961"/>
      <w:r>
        <w:t>7</w:t>
      </w:r>
      <w:r w:rsidR="007A4F3D" w:rsidRPr="00352104">
        <w:t>.</w:t>
      </w:r>
      <w:r w:rsidR="005701BA" w:rsidRPr="00352104">
        <w:t>10</w:t>
      </w:r>
      <w:r w:rsidR="007A4F3D" w:rsidRPr="00352104">
        <w:tab/>
      </w:r>
      <w:r w:rsidR="00884590" w:rsidRPr="00352104">
        <w:t xml:space="preserve">Dementia: Quality ratings of </w:t>
      </w:r>
      <w:r w:rsidR="00352104" w:rsidRPr="00352104">
        <w:t>nursing/</w:t>
      </w:r>
      <w:r w:rsidR="00884590" w:rsidRPr="00352104">
        <w:t>residential</w:t>
      </w:r>
      <w:r w:rsidR="002942E6" w:rsidRPr="00352104">
        <w:t xml:space="preserve"> care home beds (aged 65+)</w:t>
      </w:r>
      <w:r w:rsidR="00352104">
        <w:t xml:space="preserve"> </w:t>
      </w:r>
      <w:r w:rsidR="008E1FB2" w:rsidRPr="008E1FB2">
        <w:rPr>
          <w:vertAlign w:val="superscript"/>
        </w:rPr>
        <w:t>17</w:t>
      </w:r>
      <w:bookmarkEnd w:id="22"/>
    </w:p>
    <w:p w14:paraId="0A6002F1" w14:textId="77777777" w:rsidR="006E186F" w:rsidRDefault="006E186F" w:rsidP="000F25B8">
      <w:pPr>
        <w:pStyle w:val="BodyText"/>
        <w:ind w:right="1435"/>
      </w:pPr>
    </w:p>
    <w:p w14:paraId="2D96FA48" w14:textId="5E592E03" w:rsidR="00CC0607" w:rsidRPr="00B033D3" w:rsidRDefault="00CC0607" w:rsidP="00EA33D3">
      <w:pPr>
        <w:pStyle w:val="BodyText"/>
        <w:ind w:left="142" w:right="1435"/>
        <w:jc w:val="both"/>
      </w:pPr>
      <w:r w:rsidRPr="00B033D3">
        <w:t>There are 1</w:t>
      </w:r>
      <w:r w:rsidR="000C41C4">
        <w:t>7</w:t>
      </w:r>
      <w:r w:rsidRPr="00B033D3">
        <w:t xml:space="preserve"> care and nursing homes that accommodate people who have Dementia aged 65 and over.  As of </w:t>
      </w:r>
      <w:r w:rsidR="000C41C4">
        <w:t>April</w:t>
      </w:r>
      <w:r w:rsidRPr="00B033D3">
        <w:t xml:space="preserve"> 202</w:t>
      </w:r>
      <w:r w:rsidR="000C41C4">
        <w:t>6</w:t>
      </w:r>
      <w:r w:rsidRPr="00B033D3">
        <w:t xml:space="preserve">.  </w:t>
      </w:r>
      <w:r w:rsidR="009C24AA">
        <w:t>1</w:t>
      </w:r>
      <w:r w:rsidRPr="00B033D3">
        <w:t xml:space="preserve">3 of these establishments are rated ‘Good’ overall by CQC inspections, </w:t>
      </w:r>
      <w:r w:rsidR="009C24AA">
        <w:t>2</w:t>
      </w:r>
      <w:r w:rsidRPr="00B033D3">
        <w:t xml:space="preserve"> is rated ‘requires improvement’</w:t>
      </w:r>
      <w:r w:rsidR="009C24AA">
        <w:t xml:space="preserve">, 1 </w:t>
      </w:r>
      <w:r w:rsidR="00B97766">
        <w:t>is rated ‘</w:t>
      </w:r>
      <w:r w:rsidR="00DE7F6C">
        <w:t>inadequate</w:t>
      </w:r>
      <w:r w:rsidR="00B97766">
        <w:t>’</w:t>
      </w:r>
      <w:r w:rsidRPr="00B033D3">
        <w:t xml:space="preserve"> </w:t>
      </w:r>
      <w:r w:rsidRPr="00B033D3">
        <w:lastRenderedPageBreak/>
        <w:t>and 1 that is a new home which has not yet been inspected.</w:t>
      </w:r>
    </w:p>
    <w:p w14:paraId="081815FB" w14:textId="77777777" w:rsidR="00CC0607" w:rsidRPr="00B033D3" w:rsidRDefault="00CC0607" w:rsidP="00EA33D3">
      <w:pPr>
        <w:pStyle w:val="BodyText"/>
        <w:ind w:right="1435"/>
        <w:jc w:val="both"/>
      </w:pPr>
    </w:p>
    <w:p w14:paraId="57859D5F" w14:textId="19E3CD65" w:rsidR="00F36D66" w:rsidRPr="00B033D3" w:rsidRDefault="007D5B0C" w:rsidP="00EA33D3">
      <w:pPr>
        <w:pStyle w:val="BodyText"/>
        <w:ind w:left="142" w:right="1435"/>
        <w:jc w:val="both"/>
      </w:pPr>
      <w:r w:rsidRPr="00B033D3">
        <w:t>Of those care</w:t>
      </w:r>
      <w:r w:rsidR="0059126E" w:rsidRPr="00B033D3">
        <w:t>/nursing</w:t>
      </w:r>
      <w:r w:rsidRPr="00B033D3">
        <w:t xml:space="preserve"> homes with a rating</w:t>
      </w:r>
      <w:r w:rsidR="0059126E" w:rsidRPr="00B033D3">
        <w:t>,</w:t>
      </w:r>
      <w:r w:rsidRPr="00B033D3">
        <w:t xml:space="preserve"> </w:t>
      </w:r>
      <w:r w:rsidR="0059126E" w:rsidRPr="00B033D3">
        <w:t>t</w:t>
      </w:r>
      <w:r w:rsidR="004854D8" w:rsidRPr="00B033D3">
        <w:t xml:space="preserve">here are </w:t>
      </w:r>
      <w:r w:rsidR="00A8128C">
        <w:t>74</w:t>
      </w:r>
      <w:r w:rsidR="00F57D6C">
        <w:t>.5</w:t>
      </w:r>
      <w:r w:rsidR="004854D8" w:rsidRPr="00B033D3">
        <w:t xml:space="preserve">% of beds in Knowsley </w:t>
      </w:r>
      <w:r w:rsidR="00B22E35" w:rsidRPr="00B033D3">
        <w:t xml:space="preserve">that are in homes rated good or outstanding, this is currently </w:t>
      </w:r>
      <w:r w:rsidR="00EE0158">
        <w:t xml:space="preserve">similar to the </w:t>
      </w:r>
      <w:r w:rsidR="00B22E35" w:rsidRPr="00B033D3">
        <w:t xml:space="preserve">North West </w:t>
      </w:r>
      <w:r w:rsidR="002546D7" w:rsidRPr="00B033D3">
        <w:t>(7</w:t>
      </w:r>
      <w:r w:rsidR="00546496">
        <w:t>3.8</w:t>
      </w:r>
      <w:r w:rsidR="002546D7" w:rsidRPr="00B033D3">
        <w:t xml:space="preserve">%) </w:t>
      </w:r>
      <w:r w:rsidR="00B22E35" w:rsidRPr="00B033D3">
        <w:t xml:space="preserve">and </w:t>
      </w:r>
      <w:r w:rsidR="00EE0158">
        <w:t xml:space="preserve">lower than </w:t>
      </w:r>
      <w:r w:rsidR="00B22E35" w:rsidRPr="00B033D3">
        <w:t>England</w:t>
      </w:r>
      <w:r w:rsidRPr="00B033D3">
        <w:t xml:space="preserve"> </w:t>
      </w:r>
      <w:r w:rsidR="002546D7" w:rsidRPr="00B033D3">
        <w:t>(7</w:t>
      </w:r>
      <w:r w:rsidR="004420DD" w:rsidRPr="00B033D3">
        <w:t>9</w:t>
      </w:r>
      <w:r w:rsidR="006C58A2">
        <w:t>.2</w:t>
      </w:r>
      <w:r w:rsidR="002546D7" w:rsidRPr="00B033D3">
        <w:t xml:space="preserve">%).  </w:t>
      </w:r>
    </w:p>
    <w:p w14:paraId="7D5EFF51" w14:textId="77777777" w:rsidR="00F36D66" w:rsidRPr="00B033D3" w:rsidRDefault="00F36D66" w:rsidP="00882E4D">
      <w:pPr>
        <w:pStyle w:val="BodyText"/>
        <w:ind w:left="142" w:right="1435"/>
      </w:pPr>
    </w:p>
    <w:p w14:paraId="6414659D" w14:textId="77777777" w:rsidR="002F472A" w:rsidRPr="00B033D3" w:rsidRDefault="00F36D66" w:rsidP="00D3372A">
      <w:pPr>
        <w:pStyle w:val="BodyText"/>
        <w:ind w:left="142" w:right="1435"/>
      </w:pPr>
      <w:r w:rsidRPr="00B033D3">
        <w:t xml:space="preserve">Improvements have been made </w:t>
      </w:r>
      <w:r w:rsidR="00344DC4" w:rsidRPr="00B033D3">
        <w:t>over the last few years</w:t>
      </w:r>
      <w:r w:rsidR="00552864" w:rsidRPr="00B033D3">
        <w:t xml:space="preserve"> in care/nursing homes </w:t>
      </w:r>
      <w:r w:rsidR="005259FC" w:rsidRPr="00B033D3">
        <w:t xml:space="preserve">that accommodate </w:t>
      </w:r>
      <w:r w:rsidR="003354AF" w:rsidRPr="00B033D3">
        <w:t xml:space="preserve">people with </w:t>
      </w:r>
      <w:r w:rsidR="005259FC" w:rsidRPr="00B033D3">
        <w:t>Dementia</w:t>
      </w:r>
      <w:r w:rsidR="003354AF" w:rsidRPr="00B033D3">
        <w:t xml:space="preserve"> (aged 65+)</w:t>
      </w:r>
      <w:r w:rsidR="00344DC4" w:rsidRPr="00B033D3">
        <w:t xml:space="preserve">, as in 2020, Knowsley had only </w:t>
      </w:r>
      <w:r w:rsidR="00552864" w:rsidRPr="00B033D3">
        <w:t xml:space="preserve">45% of </w:t>
      </w:r>
      <w:r w:rsidR="003354AF" w:rsidRPr="00B033D3">
        <w:t xml:space="preserve">beds from good/outstanding rated </w:t>
      </w:r>
      <w:r w:rsidR="002F472A" w:rsidRPr="00B033D3">
        <w:t>homes.</w:t>
      </w:r>
    </w:p>
    <w:p w14:paraId="03DF907C" w14:textId="77777777" w:rsidR="005D7153" w:rsidRPr="00B033D3" w:rsidRDefault="005D7153" w:rsidP="00D3372A">
      <w:pPr>
        <w:pStyle w:val="BodyText"/>
        <w:ind w:left="142" w:right="1435"/>
      </w:pPr>
    </w:p>
    <w:p w14:paraId="2042D2A8" w14:textId="5E16893C" w:rsidR="005D7153" w:rsidRDefault="005D7153" w:rsidP="00D3372A">
      <w:pPr>
        <w:pStyle w:val="BodyText"/>
        <w:ind w:left="142" w:right="1435"/>
      </w:pPr>
      <w:r w:rsidRPr="00B033D3">
        <w:t xml:space="preserve">Knowsley is currently performing </w:t>
      </w:r>
      <w:r w:rsidR="008E1FB2" w:rsidRPr="00B033D3">
        <w:t>well;</w:t>
      </w:r>
      <w:r w:rsidRPr="00B033D3">
        <w:t xml:space="preserve"> </w:t>
      </w:r>
      <w:r w:rsidR="006C05E2" w:rsidRPr="00B033D3">
        <w:t>however,</w:t>
      </w:r>
      <w:r w:rsidRPr="00B033D3">
        <w:t xml:space="preserve"> </w:t>
      </w:r>
      <w:r w:rsidR="007736AD" w:rsidRPr="00B033D3">
        <w:t xml:space="preserve">Liverpool and Halton </w:t>
      </w:r>
      <w:r w:rsidR="00425D57" w:rsidRPr="00B033D3">
        <w:t xml:space="preserve">only have around a </w:t>
      </w:r>
      <w:r w:rsidR="00652E5E" w:rsidRPr="00B033D3">
        <w:t xml:space="preserve">half </w:t>
      </w:r>
      <w:r w:rsidR="00425D57" w:rsidRPr="00B033D3">
        <w:t>of beds from good or outstanding homes</w:t>
      </w:r>
      <w:r w:rsidR="00541DF9" w:rsidRPr="00B033D3">
        <w:t>.</w:t>
      </w:r>
    </w:p>
    <w:p w14:paraId="5E448CFF" w14:textId="77777777" w:rsidR="002F472A" w:rsidRDefault="002F472A">
      <w:pPr>
        <w:pStyle w:val="BodyText"/>
        <w:spacing w:before="10"/>
      </w:pPr>
    </w:p>
    <w:p w14:paraId="55EAF018" w14:textId="77777777" w:rsidR="005A0EB6" w:rsidRDefault="00552864">
      <w:pPr>
        <w:pStyle w:val="BodyText"/>
        <w:spacing w:before="10"/>
      </w:pPr>
      <w:r>
        <w:t xml:space="preserve"> </w:t>
      </w:r>
    </w:p>
    <w:tbl>
      <w:tblPr>
        <w:tblW w:w="3920" w:type="dxa"/>
        <w:tblInd w:w="-5" w:type="dxa"/>
        <w:tblLook w:val="04A0" w:firstRow="1" w:lastRow="0" w:firstColumn="1" w:lastColumn="0" w:noHBand="0" w:noVBand="1"/>
      </w:tblPr>
      <w:tblGrid>
        <w:gridCol w:w="1420"/>
        <w:gridCol w:w="2500"/>
      </w:tblGrid>
      <w:tr w:rsidR="005D69A0" w:rsidRPr="005D69A0" w14:paraId="036E2AAB" w14:textId="77777777" w:rsidTr="005D69A0">
        <w:trPr>
          <w:trHeight w:val="1460"/>
        </w:trPr>
        <w:tc>
          <w:tcPr>
            <w:tcW w:w="1420" w:type="dxa"/>
            <w:tcBorders>
              <w:top w:val="single" w:sz="8" w:space="0" w:color="auto"/>
              <w:left w:val="single" w:sz="8" w:space="0" w:color="auto"/>
              <w:bottom w:val="single" w:sz="8" w:space="0" w:color="auto"/>
              <w:right w:val="single" w:sz="8" w:space="0" w:color="auto"/>
            </w:tcBorders>
            <w:noWrap/>
            <w:vAlign w:val="center"/>
            <w:hideMark/>
          </w:tcPr>
          <w:p w14:paraId="7E32292A" w14:textId="77777777" w:rsidR="005D69A0" w:rsidRPr="005D69A0" w:rsidRDefault="005D69A0" w:rsidP="005D69A0">
            <w:pPr>
              <w:widowControl/>
              <w:autoSpaceDE/>
              <w:autoSpaceDN/>
              <w:rPr>
                <w:rFonts w:ascii="Aptos Narrow" w:eastAsia="Times New Roman" w:hAnsi="Aptos Narrow" w:cs="Calibri"/>
                <w:color w:val="000000"/>
                <w:lang w:bidi="ar-SA"/>
              </w:rPr>
            </w:pPr>
            <w:r w:rsidRPr="005D69A0">
              <w:rPr>
                <w:rFonts w:ascii="Aptos Narrow" w:eastAsia="Times New Roman" w:hAnsi="Aptos Narrow" w:cs="Calibri"/>
                <w:color w:val="000000"/>
                <w:lang w:bidi="ar-SA"/>
              </w:rPr>
              <w:t>Local Authority</w:t>
            </w:r>
          </w:p>
        </w:tc>
        <w:tc>
          <w:tcPr>
            <w:tcW w:w="2500" w:type="dxa"/>
            <w:tcBorders>
              <w:top w:val="single" w:sz="8" w:space="0" w:color="auto"/>
              <w:left w:val="nil"/>
              <w:bottom w:val="single" w:sz="8" w:space="0" w:color="auto"/>
              <w:right w:val="single" w:sz="8" w:space="0" w:color="auto"/>
            </w:tcBorders>
            <w:vAlign w:val="center"/>
            <w:hideMark/>
          </w:tcPr>
          <w:p w14:paraId="656233E8" w14:textId="55CEF3AE" w:rsidR="005D69A0" w:rsidRPr="005D69A0" w:rsidRDefault="005D69A0" w:rsidP="005D69A0">
            <w:pPr>
              <w:widowControl/>
              <w:autoSpaceDE/>
              <w:autoSpaceDN/>
              <w:rPr>
                <w:rFonts w:ascii="Aptos Narrow" w:eastAsia="Times New Roman" w:hAnsi="Aptos Narrow" w:cs="Calibri"/>
                <w:color w:val="000000"/>
                <w:lang w:bidi="ar-SA"/>
              </w:rPr>
            </w:pPr>
            <w:r w:rsidRPr="005D69A0">
              <w:rPr>
                <w:rFonts w:ascii="Aptos Narrow" w:eastAsia="Times New Roman" w:hAnsi="Aptos Narrow" w:cs="Calibri"/>
                <w:color w:val="000000"/>
                <w:lang w:bidi="ar-SA"/>
              </w:rPr>
              <w:t xml:space="preserve">% beds in Dementia Care/Nursing homes that reside in good or outstanding homes, </w:t>
            </w:r>
            <w:r>
              <w:rPr>
                <w:rFonts w:ascii="Aptos Narrow" w:eastAsia="Times New Roman" w:hAnsi="Aptos Narrow" w:cs="Calibri"/>
                <w:color w:val="000000"/>
                <w:lang w:bidi="ar-SA"/>
              </w:rPr>
              <w:t xml:space="preserve">April </w:t>
            </w:r>
            <w:r w:rsidRPr="005D69A0">
              <w:rPr>
                <w:rFonts w:ascii="Aptos Narrow" w:eastAsia="Times New Roman" w:hAnsi="Aptos Narrow" w:cs="Calibri"/>
                <w:color w:val="000000"/>
                <w:lang w:bidi="ar-SA"/>
              </w:rPr>
              <w:t>2026</w:t>
            </w:r>
          </w:p>
        </w:tc>
      </w:tr>
      <w:tr w:rsidR="005D69A0" w:rsidRPr="005D69A0" w14:paraId="74F05C35" w14:textId="77777777" w:rsidTr="005D69A0">
        <w:trPr>
          <w:trHeight w:val="300"/>
        </w:trPr>
        <w:tc>
          <w:tcPr>
            <w:tcW w:w="1420" w:type="dxa"/>
            <w:tcBorders>
              <w:top w:val="nil"/>
              <w:left w:val="single" w:sz="8" w:space="0" w:color="auto"/>
              <w:bottom w:val="single" w:sz="8" w:space="0" w:color="auto"/>
              <w:right w:val="single" w:sz="8" w:space="0" w:color="auto"/>
            </w:tcBorders>
            <w:noWrap/>
            <w:vAlign w:val="center"/>
            <w:hideMark/>
          </w:tcPr>
          <w:p w14:paraId="34679E5D" w14:textId="77777777" w:rsidR="005D69A0" w:rsidRPr="005D69A0" w:rsidRDefault="005D69A0" w:rsidP="005D69A0">
            <w:pPr>
              <w:widowControl/>
              <w:autoSpaceDE/>
              <w:autoSpaceDN/>
              <w:rPr>
                <w:rFonts w:ascii="Aptos Narrow" w:eastAsia="Times New Roman" w:hAnsi="Aptos Narrow" w:cs="Calibri"/>
                <w:color w:val="000000"/>
                <w:lang w:bidi="ar-SA"/>
              </w:rPr>
            </w:pPr>
            <w:r w:rsidRPr="005D69A0">
              <w:rPr>
                <w:rFonts w:ascii="Aptos Narrow" w:eastAsia="Times New Roman" w:hAnsi="Aptos Narrow" w:cs="Calibri"/>
                <w:color w:val="000000"/>
                <w:lang w:bidi="ar-SA"/>
              </w:rPr>
              <w:t>Halton</w:t>
            </w:r>
          </w:p>
        </w:tc>
        <w:tc>
          <w:tcPr>
            <w:tcW w:w="2500" w:type="dxa"/>
            <w:tcBorders>
              <w:top w:val="nil"/>
              <w:left w:val="nil"/>
              <w:bottom w:val="single" w:sz="8" w:space="0" w:color="auto"/>
              <w:right w:val="single" w:sz="8" w:space="0" w:color="auto"/>
            </w:tcBorders>
            <w:noWrap/>
            <w:vAlign w:val="center"/>
            <w:hideMark/>
          </w:tcPr>
          <w:p w14:paraId="06333120" w14:textId="77777777" w:rsidR="005D69A0" w:rsidRPr="005D69A0" w:rsidRDefault="005D69A0" w:rsidP="005D69A0">
            <w:pPr>
              <w:widowControl/>
              <w:autoSpaceDE/>
              <w:autoSpaceDN/>
              <w:jc w:val="right"/>
              <w:rPr>
                <w:rFonts w:ascii="Aptos Narrow" w:eastAsia="Times New Roman" w:hAnsi="Aptos Narrow" w:cs="Calibri"/>
                <w:color w:val="000000"/>
                <w:lang w:bidi="ar-SA"/>
              </w:rPr>
            </w:pPr>
            <w:r w:rsidRPr="005D69A0">
              <w:rPr>
                <w:rFonts w:ascii="Aptos Narrow" w:eastAsia="Times New Roman" w:hAnsi="Aptos Narrow" w:cs="Calibri"/>
                <w:color w:val="000000"/>
                <w:lang w:bidi="ar-SA"/>
              </w:rPr>
              <w:t>53.50%</w:t>
            </w:r>
          </w:p>
        </w:tc>
      </w:tr>
      <w:tr w:rsidR="005D69A0" w:rsidRPr="005D69A0" w14:paraId="10DB4394" w14:textId="77777777" w:rsidTr="005D69A0">
        <w:trPr>
          <w:trHeight w:val="300"/>
        </w:trPr>
        <w:tc>
          <w:tcPr>
            <w:tcW w:w="1420" w:type="dxa"/>
            <w:tcBorders>
              <w:top w:val="nil"/>
              <w:left w:val="single" w:sz="8" w:space="0" w:color="auto"/>
              <w:bottom w:val="single" w:sz="8" w:space="0" w:color="auto"/>
              <w:right w:val="single" w:sz="8" w:space="0" w:color="auto"/>
            </w:tcBorders>
            <w:noWrap/>
            <w:vAlign w:val="center"/>
            <w:hideMark/>
          </w:tcPr>
          <w:p w14:paraId="440E5750" w14:textId="77777777" w:rsidR="005D69A0" w:rsidRPr="005D69A0" w:rsidRDefault="005D69A0" w:rsidP="005D69A0">
            <w:pPr>
              <w:widowControl/>
              <w:autoSpaceDE/>
              <w:autoSpaceDN/>
              <w:rPr>
                <w:rFonts w:ascii="Aptos Narrow" w:eastAsia="Times New Roman" w:hAnsi="Aptos Narrow" w:cs="Calibri"/>
                <w:color w:val="000000"/>
                <w:lang w:bidi="ar-SA"/>
              </w:rPr>
            </w:pPr>
            <w:r w:rsidRPr="005D69A0">
              <w:rPr>
                <w:rFonts w:ascii="Aptos Narrow" w:eastAsia="Times New Roman" w:hAnsi="Aptos Narrow" w:cs="Calibri"/>
                <w:color w:val="000000"/>
                <w:lang w:bidi="ar-SA"/>
              </w:rPr>
              <w:t>Liverpool</w:t>
            </w:r>
          </w:p>
        </w:tc>
        <w:tc>
          <w:tcPr>
            <w:tcW w:w="2500" w:type="dxa"/>
            <w:tcBorders>
              <w:top w:val="nil"/>
              <w:left w:val="nil"/>
              <w:bottom w:val="single" w:sz="8" w:space="0" w:color="auto"/>
              <w:right w:val="single" w:sz="8" w:space="0" w:color="auto"/>
            </w:tcBorders>
            <w:noWrap/>
            <w:vAlign w:val="center"/>
            <w:hideMark/>
          </w:tcPr>
          <w:p w14:paraId="75386DDA" w14:textId="77777777" w:rsidR="005D69A0" w:rsidRPr="005D69A0" w:rsidRDefault="005D69A0" w:rsidP="005D69A0">
            <w:pPr>
              <w:widowControl/>
              <w:autoSpaceDE/>
              <w:autoSpaceDN/>
              <w:jc w:val="right"/>
              <w:rPr>
                <w:rFonts w:ascii="Aptos Narrow" w:eastAsia="Times New Roman" w:hAnsi="Aptos Narrow" w:cs="Calibri"/>
                <w:color w:val="000000"/>
                <w:lang w:bidi="ar-SA"/>
              </w:rPr>
            </w:pPr>
            <w:r w:rsidRPr="005D69A0">
              <w:rPr>
                <w:rFonts w:ascii="Aptos Narrow" w:eastAsia="Times New Roman" w:hAnsi="Aptos Narrow" w:cs="Calibri"/>
                <w:color w:val="000000"/>
                <w:lang w:bidi="ar-SA"/>
              </w:rPr>
              <w:t>45.63%</w:t>
            </w:r>
          </w:p>
        </w:tc>
      </w:tr>
      <w:tr w:rsidR="005D69A0" w:rsidRPr="005D69A0" w14:paraId="7BAFCF5C" w14:textId="77777777" w:rsidTr="005D69A0">
        <w:trPr>
          <w:trHeight w:val="300"/>
        </w:trPr>
        <w:tc>
          <w:tcPr>
            <w:tcW w:w="1420" w:type="dxa"/>
            <w:tcBorders>
              <w:top w:val="nil"/>
              <w:left w:val="single" w:sz="8" w:space="0" w:color="auto"/>
              <w:bottom w:val="single" w:sz="8" w:space="0" w:color="auto"/>
              <w:right w:val="single" w:sz="8" w:space="0" w:color="auto"/>
            </w:tcBorders>
            <w:noWrap/>
            <w:vAlign w:val="center"/>
            <w:hideMark/>
          </w:tcPr>
          <w:p w14:paraId="46BC3026" w14:textId="77777777" w:rsidR="005D69A0" w:rsidRPr="005D69A0" w:rsidRDefault="005D69A0" w:rsidP="005D69A0">
            <w:pPr>
              <w:widowControl/>
              <w:autoSpaceDE/>
              <w:autoSpaceDN/>
              <w:rPr>
                <w:rFonts w:ascii="Aptos Narrow" w:eastAsia="Times New Roman" w:hAnsi="Aptos Narrow" w:cs="Calibri"/>
                <w:color w:val="000000"/>
                <w:lang w:bidi="ar-SA"/>
              </w:rPr>
            </w:pPr>
            <w:r w:rsidRPr="005D69A0">
              <w:rPr>
                <w:rFonts w:ascii="Aptos Narrow" w:eastAsia="Times New Roman" w:hAnsi="Aptos Narrow" w:cs="Calibri"/>
                <w:color w:val="000000"/>
                <w:lang w:bidi="ar-SA"/>
              </w:rPr>
              <w:t>Wirral</w:t>
            </w:r>
          </w:p>
        </w:tc>
        <w:tc>
          <w:tcPr>
            <w:tcW w:w="2500" w:type="dxa"/>
            <w:tcBorders>
              <w:top w:val="nil"/>
              <w:left w:val="nil"/>
              <w:bottom w:val="single" w:sz="8" w:space="0" w:color="auto"/>
              <w:right w:val="single" w:sz="8" w:space="0" w:color="auto"/>
            </w:tcBorders>
            <w:noWrap/>
            <w:vAlign w:val="center"/>
            <w:hideMark/>
          </w:tcPr>
          <w:p w14:paraId="3C90022A" w14:textId="77777777" w:rsidR="005D69A0" w:rsidRPr="005D69A0" w:rsidRDefault="005D69A0" w:rsidP="005D69A0">
            <w:pPr>
              <w:widowControl/>
              <w:autoSpaceDE/>
              <w:autoSpaceDN/>
              <w:jc w:val="right"/>
              <w:rPr>
                <w:rFonts w:ascii="Aptos Narrow" w:eastAsia="Times New Roman" w:hAnsi="Aptos Narrow" w:cs="Calibri"/>
                <w:color w:val="000000"/>
                <w:lang w:bidi="ar-SA"/>
              </w:rPr>
            </w:pPr>
            <w:r w:rsidRPr="005D69A0">
              <w:rPr>
                <w:rFonts w:ascii="Aptos Narrow" w:eastAsia="Times New Roman" w:hAnsi="Aptos Narrow" w:cs="Calibri"/>
                <w:color w:val="000000"/>
                <w:lang w:bidi="ar-SA"/>
              </w:rPr>
              <w:t>61.08%</w:t>
            </w:r>
          </w:p>
        </w:tc>
      </w:tr>
      <w:tr w:rsidR="005D69A0" w:rsidRPr="005D69A0" w14:paraId="7FE95481" w14:textId="77777777" w:rsidTr="005D69A0">
        <w:trPr>
          <w:trHeight w:val="300"/>
        </w:trPr>
        <w:tc>
          <w:tcPr>
            <w:tcW w:w="1420" w:type="dxa"/>
            <w:tcBorders>
              <w:top w:val="nil"/>
              <w:left w:val="single" w:sz="8" w:space="0" w:color="auto"/>
              <w:bottom w:val="single" w:sz="8" w:space="0" w:color="auto"/>
              <w:right w:val="single" w:sz="8" w:space="0" w:color="auto"/>
            </w:tcBorders>
            <w:noWrap/>
            <w:vAlign w:val="center"/>
            <w:hideMark/>
          </w:tcPr>
          <w:p w14:paraId="22B2EEEA" w14:textId="77777777" w:rsidR="005D69A0" w:rsidRPr="005D69A0" w:rsidRDefault="005D69A0" w:rsidP="005D69A0">
            <w:pPr>
              <w:widowControl/>
              <w:autoSpaceDE/>
              <w:autoSpaceDN/>
              <w:rPr>
                <w:rFonts w:ascii="Aptos Narrow" w:eastAsia="Times New Roman" w:hAnsi="Aptos Narrow" w:cs="Calibri"/>
                <w:color w:val="000000"/>
                <w:lang w:bidi="ar-SA"/>
              </w:rPr>
            </w:pPr>
            <w:r w:rsidRPr="005D69A0">
              <w:rPr>
                <w:rFonts w:ascii="Aptos Narrow" w:eastAsia="Times New Roman" w:hAnsi="Aptos Narrow" w:cs="Calibri"/>
                <w:color w:val="000000"/>
                <w:lang w:bidi="ar-SA"/>
              </w:rPr>
              <w:t>Sefton</w:t>
            </w:r>
          </w:p>
        </w:tc>
        <w:tc>
          <w:tcPr>
            <w:tcW w:w="2500" w:type="dxa"/>
            <w:tcBorders>
              <w:top w:val="nil"/>
              <w:left w:val="nil"/>
              <w:bottom w:val="single" w:sz="8" w:space="0" w:color="auto"/>
              <w:right w:val="single" w:sz="8" w:space="0" w:color="auto"/>
            </w:tcBorders>
            <w:noWrap/>
            <w:vAlign w:val="center"/>
            <w:hideMark/>
          </w:tcPr>
          <w:p w14:paraId="45844F77" w14:textId="77777777" w:rsidR="005D69A0" w:rsidRPr="005D69A0" w:rsidRDefault="005D69A0" w:rsidP="005D69A0">
            <w:pPr>
              <w:widowControl/>
              <w:autoSpaceDE/>
              <w:autoSpaceDN/>
              <w:jc w:val="right"/>
              <w:rPr>
                <w:rFonts w:ascii="Aptos Narrow" w:eastAsia="Times New Roman" w:hAnsi="Aptos Narrow" w:cs="Calibri"/>
                <w:color w:val="000000"/>
                <w:lang w:bidi="ar-SA"/>
              </w:rPr>
            </w:pPr>
            <w:r w:rsidRPr="005D69A0">
              <w:rPr>
                <w:rFonts w:ascii="Aptos Narrow" w:eastAsia="Times New Roman" w:hAnsi="Aptos Narrow" w:cs="Calibri"/>
                <w:color w:val="000000"/>
                <w:lang w:bidi="ar-SA"/>
              </w:rPr>
              <w:t>69.04%</w:t>
            </w:r>
          </w:p>
        </w:tc>
      </w:tr>
      <w:tr w:rsidR="005D69A0" w:rsidRPr="005D69A0" w14:paraId="023E6120" w14:textId="77777777" w:rsidTr="005D69A0">
        <w:trPr>
          <w:trHeight w:val="300"/>
        </w:trPr>
        <w:tc>
          <w:tcPr>
            <w:tcW w:w="1420" w:type="dxa"/>
            <w:tcBorders>
              <w:top w:val="nil"/>
              <w:left w:val="single" w:sz="8" w:space="0" w:color="auto"/>
              <w:bottom w:val="single" w:sz="8" w:space="0" w:color="auto"/>
              <w:right w:val="single" w:sz="8" w:space="0" w:color="auto"/>
            </w:tcBorders>
            <w:noWrap/>
            <w:vAlign w:val="center"/>
            <w:hideMark/>
          </w:tcPr>
          <w:p w14:paraId="355BD59F" w14:textId="77777777" w:rsidR="005D69A0" w:rsidRPr="005D69A0" w:rsidRDefault="005D69A0" w:rsidP="005D69A0">
            <w:pPr>
              <w:widowControl/>
              <w:autoSpaceDE/>
              <w:autoSpaceDN/>
              <w:rPr>
                <w:rFonts w:ascii="Aptos Narrow" w:eastAsia="Times New Roman" w:hAnsi="Aptos Narrow" w:cs="Calibri"/>
                <w:color w:val="000000"/>
                <w:lang w:bidi="ar-SA"/>
              </w:rPr>
            </w:pPr>
            <w:r w:rsidRPr="005D69A0">
              <w:rPr>
                <w:rFonts w:ascii="Aptos Narrow" w:eastAsia="Times New Roman" w:hAnsi="Aptos Narrow" w:cs="Calibri"/>
                <w:color w:val="000000"/>
                <w:lang w:bidi="ar-SA"/>
              </w:rPr>
              <w:t>St. Helens</w:t>
            </w:r>
          </w:p>
        </w:tc>
        <w:tc>
          <w:tcPr>
            <w:tcW w:w="2500" w:type="dxa"/>
            <w:tcBorders>
              <w:top w:val="nil"/>
              <w:left w:val="nil"/>
              <w:bottom w:val="single" w:sz="8" w:space="0" w:color="auto"/>
              <w:right w:val="single" w:sz="8" w:space="0" w:color="auto"/>
            </w:tcBorders>
            <w:noWrap/>
            <w:vAlign w:val="center"/>
            <w:hideMark/>
          </w:tcPr>
          <w:p w14:paraId="1F1EF8E0" w14:textId="77777777" w:rsidR="005D69A0" w:rsidRPr="005D69A0" w:rsidRDefault="005D69A0" w:rsidP="005D69A0">
            <w:pPr>
              <w:widowControl/>
              <w:autoSpaceDE/>
              <w:autoSpaceDN/>
              <w:jc w:val="right"/>
              <w:rPr>
                <w:rFonts w:ascii="Aptos Narrow" w:eastAsia="Times New Roman" w:hAnsi="Aptos Narrow" w:cs="Calibri"/>
                <w:color w:val="000000"/>
                <w:lang w:bidi="ar-SA"/>
              </w:rPr>
            </w:pPr>
            <w:r w:rsidRPr="005D69A0">
              <w:rPr>
                <w:rFonts w:ascii="Aptos Narrow" w:eastAsia="Times New Roman" w:hAnsi="Aptos Narrow" w:cs="Calibri"/>
                <w:color w:val="000000"/>
                <w:lang w:bidi="ar-SA"/>
              </w:rPr>
              <w:t>85.47%</w:t>
            </w:r>
          </w:p>
        </w:tc>
      </w:tr>
      <w:tr w:rsidR="005D69A0" w:rsidRPr="005D69A0" w14:paraId="159B4E6C" w14:textId="77777777" w:rsidTr="005D69A0">
        <w:trPr>
          <w:trHeight w:val="300"/>
        </w:trPr>
        <w:tc>
          <w:tcPr>
            <w:tcW w:w="1420" w:type="dxa"/>
            <w:tcBorders>
              <w:top w:val="nil"/>
              <w:left w:val="single" w:sz="8" w:space="0" w:color="auto"/>
              <w:bottom w:val="single" w:sz="8" w:space="0" w:color="auto"/>
              <w:right w:val="single" w:sz="8" w:space="0" w:color="auto"/>
            </w:tcBorders>
            <w:noWrap/>
            <w:vAlign w:val="center"/>
            <w:hideMark/>
          </w:tcPr>
          <w:p w14:paraId="2E20C17F" w14:textId="77777777" w:rsidR="005D69A0" w:rsidRPr="005D69A0" w:rsidRDefault="005D69A0" w:rsidP="005D69A0">
            <w:pPr>
              <w:widowControl/>
              <w:autoSpaceDE/>
              <w:autoSpaceDN/>
              <w:rPr>
                <w:rFonts w:ascii="Aptos Narrow" w:eastAsia="Times New Roman" w:hAnsi="Aptos Narrow" w:cs="Calibri"/>
                <w:color w:val="000000"/>
                <w:lang w:bidi="ar-SA"/>
              </w:rPr>
            </w:pPr>
            <w:r w:rsidRPr="005D69A0">
              <w:rPr>
                <w:rFonts w:ascii="Aptos Narrow" w:eastAsia="Times New Roman" w:hAnsi="Aptos Narrow" w:cs="Calibri"/>
                <w:color w:val="000000"/>
                <w:lang w:bidi="ar-SA"/>
              </w:rPr>
              <w:t>Knowsley</w:t>
            </w:r>
          </w:p>
        </w:tc>
        <w:tc>
          <w:tcPr>
            <w:tcW w:w="2500" w:type="dxa"/>
            <w:tcBorders>
              <w:top w:val="nil"/>
              <w:left w:val="nil"/>
              <w:bottom w:val="single" w:sz="8" w:space="0" w:color="auto"/>
              <w:right w:val="single" w:sz="8" w:space="0" w:color="auto"/>
            </w:tcBorders>
            <w:noWrap/>
            <w:vAlign w:val="center"/>
            <w:hideMark/>
          </w:tcPr>
          <w:p w14:paraId="39ABF9CF" w14:textId="77777777" w:rsidR="005D69A0" w:rsidRPr="005D69A0" w:rsidRDefault="005D69A0" w:rsidP="005D69A0">
            <w:pPr>
              <w:widowControl/>
              <w:autoSpaceDE/>
              <w:autoSpaceDN/>
              <w:jc w:val="right"/>
              <w:rPr>
                <w:rFonts w:ascii="Aptos Narrow" w:eastAsia="Times New Roman" w:hAnsi="Aptos Narrow" w:cs="Calibri"/>
                <w:color w:val="000000"/>
                <w:lang w:bidi="ar-SA"/>
              </w:rPr>
            </w:pPr>
            <w:r w:rsidRPr="005D69A0">
              <w:rPr>
                <w:rFonts w:ascii="Aptos Narrow" w:eastAsia="Times New Roman" w:hAnsi="Aptos Narrow" w:cs="Calibri"/>
                <w:color w:val="000000"/>
                <w:lang w:bidi="ar-SA"/>
              </w:rPr>
              <w:t>74.48%</w:t>
            </w:r>
          </w:p>
        </w:tc>
      </w:tr>
    </w:tbl>
    <w:p w14:paraId="5F964C95" w14:textId="0B210B18" w:rsidR="000236F7" w:rsidRDefault="000236F7" w:rsidP="000236F7">
      <w:pPr>
        <w:pStyle w:val="BodyText"/>
        <w:spacing w:line="276" w:lineRule="auto"/>
        <w:ind w:right="1435" w:firstLine="142"/>
        <w:jc w:val="both"/>
        <w:rPr>
          <w:i/>
          <w:sz w:val="18"/>
          <w:szCs w:val="22"/>
        </w:rPr>
      </w:pPr>
      <w:r w:rsidRPr="000236F7">
        <w:rPr>
          <w:i/>
          <w:sz w:val="18"/>
          <w:szCs w:val="22"/>
        </w:rPr>
        <w:t>Table 3: % beds in Dementia Care/Nursing homes that reside in good or outstanding homes, A</w:t>
      </w:r>
      <w:r w:rsidR="005D69A0">
        <w:rPr>
          <w:i/>
          <w:sz w:val="18"/>
          <w:szCs w:val="22"/>
        </w:rPr>
        <w:t>pril</w:t>
      </w:r>
      <w:r w:rsidRPr="000236F7">
        <w:rPr>
          <w:i/>
          <w:sz w:val="18"/>
          <w:szCs w:val="22"/>
        </w:rPr>
        <w:t xml:space="preserve"> 202</w:t>
      </w:r>
      <w:r w:rsidR="005D69A0">
        <w:rPr>
          <w:i/>
          <w:sz w:val="18"/>
          <w:szCs w:val="22"/>
        </w:rPr>
        <w:t>6</w:t>
      </w:r>
      <w:r w:rsidRPr="000236F7">
        <w:rPr>
          <w:i/>
          <w:sz w:val="18"/>
          <w:szCs w:val="22"/>
        </w:rPr>
        <w:t xml:space="preserve"> </w:t>
      </w:r>
    </w:p>
    <w:p w14:paraId="2404EBEA" w14:textId="4977B931" w:rsidR="000236F7" w:rsidRPr="000236F7" w:rsidRDefault="000236F7" w:rsidP="000236F7">
      <w:pPr>
        <w:pStyle w:val="BodyText"/>
        <w:spacing w:line="276" w:lineRule="auto"/>
        <w:ind w:right="1435" w:firstLine="142"/>
        <w:jc w:val="both"/>
        <w:rPr>
          <w:i/>
          <w:sz w:val="18"/>
          <w:szCs w:val="22"/>
        </w:rPr>
      </w:pPr>
      <w:r w:rsidRPr="000236F7">
        <w:rPr>
          <w:i/>
          <w:sz w:val="18"/>
          <w:szCs w:val="22"/>
        </w:rPr>
        <w:t>Source:</w:t>
      </w:r>
      <w:r w:rsidR="0023014C">
        <w:rPr>
          <w:i/>
          <w:sz w:val="18"/>
          <w:szCs w:val="22"/>
        </w:rPr>
        <w:t xml:space="preserve"> Care Quality Commission (CQC)</w:t>
      </w:r>
    </w:p>
    <w:p w14:paraId="1AA39391" w14:textId="19BF2B40" w:rsidR="00974DBB" w:rsidRDefault="00974DBB">
      <w:pPr>
        <w:pStyle w:val="BodyText"/>
        <w:spacing w:before="10"/>
      </w:pPr>
    </w:p>
    <w:p w14:paraId="37877251" w14:textId="77777777" w:rsidR="002942E6" w:rsidRDefault="002942E6">
      <w:pPr>
        <w:pStyle w:val="BodyText"/>
        <w:spacing w:before="10"/>
      </w:pPr>
    </w:p>
    <w:p w14:paraId="10D4AD23" w14:textId="1D546001" w:rsidR="00520ADE" w:rsidRPr="00CB6EC2" w:rsidRDefault="00BC3F4F">
      <w:pPr>
        <w:pStyle w:val="Heading2"/>
      </w:pPr>
      <w:bookmarkStart w:id="23" w:name="_Toc236218962"/>
      <w:r>
        <w:t>7</w:t>
      </w:r>
      <w:r w:rsidR="00945806" w:rsidRPr="00CB6EC2">
        <w:t>.</w:t>
      </w:r>
      <w:r w:rsidR="00375D13">
        <w:t>11</w:t>
      </w:r>
      <w:r w:rsidR="00945806" w:rsidRPr="00CB6EC2">
        <w:tab/>
      </w:r>
      <w:r w:rsidR="00D17A4B" w:rsidRPr="00CB6EC2">
        <w:t>Future projections</w:t>
      </w:r>
      <w:bookmarkEnd w:id="23"/>
    </w:p>
    <w:p w14:paraId="4A02DB73" w14:textId="77777777" w:rsidR="00520ADE" w:rsidRDefault="00520ADE">
      <w:pPr>
        <w:pStyle w:val="BodyText"/>
        <w:spacing w:before="10"/>
        <w:rPr>
          <w:b/>
          <w:sz w:val="20"/>
        </w:rPr>
      </w:pPr>
    </w:p>
    <w:p w14:paraId="6AA9AC68" w14:textId="006FB2AC" w:rsidR="00520ADE" w:rsidRPr="00B033D3" w:rsidRDefault="00FE00BF" w:rsidP="00536886">
      <w:pPr>
        <w:pStyle w:val="BodyText"/>
        <w:ind w:left="140" w:right="1441"/>
        <w:jc w:val="both"/>
      </w:pPr>
      <w:r w:rsidRPr="00B033D3">
        <w:t xml:space="preserve">There are about </w:t>
      </w:r>
      <w:r w:rsidR="00592364" w:rsidRPr="00B033D3">
        <w:t>982,000</w:t>
      </w:r>
      <w:r w:rsidR="00D17A4B" w:rsidRPr="00B033D3">
        <w:t xml:space="preserve"> people in the United Kingdom (UK) with dementia.</w:t>
      </w:r>
      <w:r w:rsidR="00F83122" w:rsidRPr="00B033D3">
        <w:rPr>
          <w:vertAlign w:val="superscript"/>
        </w:rPr>
        <w:t>2</w:t>
      </w:r>
      <w:r w:rsidR="00161249" w:rsidRPr="00B033D3">
        <w:t xml:space="preserve"> This is estimated to increase to 1.</w:t>
      </w:r>
      <w:r w:rsidR="00070200" w:rsidRPr="00B033D3">
        <w:t>4</w:t>
      </w:r>
      <w:r w:rsidR="00161249" w:rsidRPr="00B033D3">
        <w:t xml:space="preserve"> </w:t>
      </w:r>
      <w:r w:rsidR="00DE5DC4" w:rsidRPr="00B033D3">
        <w:t>million</w:t>
      </w:r>
      <w:r w:rsidR="00161249" w:rsidRPr="00B033D3">
        <w:t xml:space="preserve"> by 20</w:t>
      </w:r>
      <w:r w:rsidR="00546078" w:rsidRPr="00B033D3">
        <w:t>40</w:t>
      </w:r>
      <w:r w:rsidR="00161249" w:rsidRPr="00B033D3">
        <w:t>.</w:t>
      </w:r>
      <w:r w:rsidR="00F83122" w:rsidRPr="00B033D3">
        <w:rPr>
          <w:vertAlign w:val="superscript"/>
        </w:rPr>
        <w:t>2</w:t>
      </w:r>
      <w:r w:rsidRPr="00B033D3">
        <w:t xml:space="preserve"> The</w:t>
      </w:r>
      <w:r w:rsidR="00D17A4B" w:rsidRPr="00B033D3">
        <w:t xml:space="preserve"> overall financial cost of dementia</w:t>
      </w:r>
      <w:r w:rsidR="00753D5A" w:rsidRPr="00B033D3">
        <w:t xml:space="preserve"> in 202</w:t>
      </w:r>
      <w:r w:rsidR="00850404" w:rsidRPr="00B033D3">
        <w:t>4 to the UK</w:t>
      </w:r>
      <w:r w:rsidR="00753D5A" w:rsidRPr="00B033D3">
        <w:t xml:space="preserve"> was </w:t>
      </w:r>
      <w:r w:rsidR="00AE0C9E" w:rsidRPr="00B033D3">
        <w:t>forecast</w:t>
      </w:r>
      <w:r w:rsidR="00753D5A" w:rsidRPr="00B033D3">
        <w:t xml:space="preserve"> to</w:t>
      </w:r>
      <w:r w:rsidR="000E6ADA" w:rsidRPr="00B033D3">
        <w:t xml:space="preserve"> be</w:t>
      </w:r>
      <w:r w:rsidRPr="00B033D3">
        <w:t xml:space="preserve"> £</w:t>
      </w:r>
      <w:r w:rsidR="00850404" w:rsidRPr="00B033D3">
        <w:t>42</w:t>
      </w:r>
      <w:r w:rsidR="00D17A4B" w:rsidRPr="00B033D3">
        <w:t xml:space="preserve"> billion a year</w:t>
      </w:r>
      <w:r w:rsidR="00F83122" w:rsidRPr="00B033D3">
        <w:rPr>
          <w:vertAlign w:val="superscript"/>
        </w:rPr>
        <w:t>2</w:t>
      </w:r>
      <w:r w:rsidR="00D17A4B" w:rsidRPr="00B033D3">
        <w:t xml:space="preserve"> This cost is expected to grow to £</w:t>
      </w:r>
      <w:r w:rsidR="00182DE2" w:rsidRPr="00B033D3">
        <w:t>90</w:t>
      </w:r>
      <w:r w:rsidR="00C22A05" w:rsidRPr="00B033D3">
        <w:t xml:space="preserve"> billion by 20</w:t>
      </w:r>
      <w:r w:rsidR="00182DE2" w:rsidRPr="00B033D3">
        <w:t>4</w:t>
      </w:r>
      <w:r w:rsidR="00F75618" w:rsidRPr="00B033D3">
        <w:t>0</w:t>
      </w:r>
      <w:r w:rsidRPr="00B033D3">
        <w:t>.</w:t>
      </w:r>
      <w:r w:rsidR="00F83122" w:rsidRPr="00B033D3">
        <w:rPr>
          <w:vertAlign w:val="superscript"/>
        </w:rPr>
        <w:t>2</w:t>
      </w:r>
    </w:p>
    <w:p w14:paraId="080C7790" w14:textId="77777777" w:rsidR="00520ADE" w:rsidRPr="00B033D3" w:rsidRDefault="00520ADE" w:rsidP="00973002">
      <w:pPr>
        <w:pStyle w:val="BodyText"/>
        <w:rPr>
          <w:sz w:val="20"/>
        </w:rPr>
      </w:pPr>
    </w:p>
    <w:p w14:paraId="615377C6" w14:textId="566526C8" w:rsidR="00520ADE" w:rsidRDefault="00D17A4B" w:rsidP="00536886">
      <w:pPr>
        <w:pStyle w:val="BodyText"/>
        <w:spacing w:before="93"/>
        <w:ind w:left="140" w:right="1438"/>
        <w:jc w:val="both"/>
      </w:pPr>
      <w:r w:rsidRPr="00B033D3">
        <w:t>Population shifts are expected to bring with them a</w:t>
      </w:r>
      <w:r w:rsidR="00B97E88">
        <w:t xml:space="preserve">n increasing </w:t>
      </w:r>
      <w:r w:rsidRPr="00B033D3">
        <w:t>burden of disease and</w:t>
      </w:r>
      <w:r w:rsidR="00B97E88">
        <w:t xml:space="preserve"> complexity with</w:t>
      </w:r>
      <w:r w:rsidRPr="00B033D3">
        <w:t xml:space="preserve"> an expected rise in the numbers of very elderly</w:t>
      </w:r>
      <w:r w:rsidR="00066E0F">
        <w:t xml:space="preserve"> and</w:t>
      </w:r>
      <w:r w:rsidRPr="00B033D3">
        <w:t xml:space="preserve"> a</w:t>
      </w:r>
      <w:r w:rsidR="00066E0F">
        <w:t xml:space="preserve"> subsequent</w:t>
      </w:r>
      <w:r w:rsidRPr="00B033D3">
        <w:t xml:space="preserve"> increase in people </w:t>
      </w:r>
      <w:r w:rsidR="007330EA">
        <w:t xml:space="preserve">living </w:t>
      </w:r>
      <w:r w:rsidRPr="00B033D3">
        <w:t>with dementia.</w:t>
      </w:r>
      <w:r w:rsidR="00B90F1B" w:rsidRPr="00B033D3">
        <w:t xml:space="preserve"> The </w:t>
      </w:r>
      <w:r w:rsidR="004D6192" w:rsidRPr="00B033D3">
        <w:t>aged 65</w:t>
      </w:r>
      <w:r w:rsidR="00D6550E" w:rsidRPr="00B033D3">
        <w:t xml:space="preserve">+ </w:t>
      </w:r>
      <w:r w:rsidR="004D6192" w:rsidRPr="00B033D3">
        <w:t>population</w:t>
      </w:r>
      <w:r w:rsidR="00E746A1" w:rsidRPr="00B033D3">
        <w:t xml:space="preserve"> with </w:t>
      </w:r>
      <w:r w:rsidR="004565E6">
        <w:t>d</w:t>
      </w:r>
      <w:r w:rsidR="00E746A1" w:rsidRPr="00B033D3">
        <w:t>ementia</w:t>
      </w:r>
      <w:r w:rsidR="00E401CF" w:rsidRPr="00B033D3">
        <w:t xml:space="preserve"> in Knowsley</w:t>
      </w:r>
      <w:r w:rsidR="00E746A1" w:rsidRPr="00B033D3">
        <w:t xml:space="preserve"> is predicted to grow</w:t>
      </w:r>
      <w:r w:rsidR="00EE5AF8" w:rsidRPr="00B033D3">
        <w:t xml:space="preserve"> by 41% by 2040</w:t>
      </w:r>
      <w:r w:rsidR="00505CC0" w:rsidRPr="00B033D3">
        <w:t>,</w:t>
      </w:r>
      <w:r w:rsidR="004565E6">
        <w:t xml:space="preserve"> which is similar</w:t>
      </w:r>
      <w:r w:rsidR="00505CC0" w:rsidRPr="00B033D3">
        <w:t xml:space="preserve"> </w:t>
      </w:r>
      <w:r w:rsidR="004565E6">
        <w:t xml:space="preserve">to </w:t>
      </w:r>
      <w:r w:rsidR="00505CC0" w:rsidRPr="00B033D3">
        <w:t>the North West (41%) but lower than England (46%)</w:t>
      </w:r>
      <w:r w:rsidR="004C26C2" w:rsidRPr="00B033D3">
        <w:t xml:space="preserve">. In Knowsley the 80-84 age group is predicted to </w:t>
      </w:r>
      <w:r w:rsidR="00B71DB8" w:rsidRPr="00B033D3">
        <w:t>increase</w:t>
      </w:r>
      <w:r w:rsidR="008F17B9" w:rsidRPr="00B033D3">
        <w:t xml:space="preserve"> the most by 69%</w:t>
      </w:r>
      <w:r w:rsidR="00A1227F" w:rsidRPr="00B033D3">
        <w:t xml:space="preserve">.  This is different from </w:t>
      </w:r>
      <w:r w:rsidR="00386B23" w:rsidRPr="00B033D3">
        <w:t xml:space="preserve">North West and England where it is the 90 and over group that is expected to see the most </w:t>
      </w:r>
      <w:r w:rsidR="00B71DB8" w:rsidRPr="00B033D3">
        <w:t>increases.</w:t>
      </w:r>
      <w:r w:rsidR="000F5673" w:rsidRPr="00B033D3">
        <w:rPr>
          <w:vertAlign w:val="superscript"/>
        </w:rPr>
        <w:t>18</w:t>
      </w:r>
    </w:p>
    <w:p w14:paraId="5A26C410" w14:textId="77777777" w:rsidR="008134E6" w:rsidRDefault="008134E6">
      <w:pPr>
        <w:pStyle w:val="BodyText"/>
        <w:spacing w:before="93" w:line="276" w:lineRule="auto"/>
        <w:ind w:left="140" w:right="1438"/>
        <w:jc w:val="both"/>
      </w:pPr>
    </w:p>
    <w:tbl>
      <w:tblPr>
        <w:tblW w:w="7820" w:type="dxa"/>
        <w:tblLook w:val="04A0" w:firstRow="1" w:lastRow="0" w:firstColumn="1" w:lastColumn="0" w:noHBand="0" w:noVBand="1"/>
      </w:tblPr>
      <w:tblGrid>
        <w:gridCol w:w="4531"/>
        <w:gridCol w:w="720"/>
        <w:gridCol w:w="720"/>
        <w:gridCol w:w="720"/>
        <w:gridCol w:w="720"/>
        <w:gridCol w:w="720"/>
      </w:tblGrid>
      <w:tr w:rsidR="00F00971" w:rsidRPr="00F00971" w14:paraId="48F1B4EB" w14:textId="77777777" w:rsidTr="00025BBC">
        <w:trPr>
          <w:trHeight w:val="290"/>
        </w:trPr>
        <w:tc>
          <w:tcPr>
            <w:tcW w:w="4531" w:type="dxa"/>
            <w:tcBorders>
              <w:top w:val="single" w:sz="4" w:space="0" w:color="auto"/>
              <w:left w:val="single" w:sz="4" w:space="0" w:color="auto"/>
              <w:bottom w:val="single" w:sz="4" w:space="0" w:color="auto"/>
              <w:right w:val="single" w:sz="4" w:space="0" w:color="auto"/>
            </w:tcBorders>
            <w:noWrap/>
            <w:vAlign w:val="bottom"/>
            <w:hideMark/>
          </w:tcPr>
          <w:p w14:paraId="41AFE28D" w14:textId="77777777" w:rsidR="00F00971" w:rsidRPr="00F00971" w:rsidRDefault="00F00971" w:rsidP="00F00971">
            <w:pPr>
              <w:widowControl/>
              <w:autoSpaceDE/>
              <w:autoSpaceDN/>
              <w:rPr>
                <w:rFonts w:ascii="Aptos Narrow" w:eastAsia="Times New Roman" w:hAnsi="Aptos Narrow" w:cs="Times New Roman"/>
                <w:b/>
                <w:bCs/>
                <w:color w:val="000000"/>
                <w:lang w:bidi="ar-SA"/>
              </w:rPr>
            </w:pPr>
            <w:r w:rsidRPr="00F00971">
              <w:rPr>
                <w:rFonts w:ascii="Aptos Narrow" w:eastAsia="Times New Roman" w:hAnsi="Aptos Narrow" w:cs="Times New Roman"/>
                <w:b/>
                <w:bCs/>
                <w:color w:val="000000"/>
                <w:lang w:bidi="ar-SA"/>
              </w:rPr>
              <w:t>Knowsley: predicted to have dementia, by age</w:t>
            </w:r>
          </w:p>
        </w:tc>
        <w:tc>
          <w:tcPr>
            <w:tcW w:w="409" w:type="dxa"/>
            <w:tcBorders>
              <w:top w:val="single" w:sz="4" w:space="0" w:color="auto"/>
              <w:left w:val="nil"/>
              <w:bottom w:val="single" w:sz="4" w:space="0" w:color="auto"/>
              <w:right w:val="single" w:sz="4" w:space="0" w:color="auto"/>
            </w:tcBorders>
            <w:noWrap/>
            <w:vAlign w:val="bottom"/>
            <w:hideMark/>
          </w:tcPr>
          <w:p w14:paraId="13930A93"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2023</w:t>
            </w:r>
          </w:p>
        </w:tc>
        <w:tc>
          <w:tcPr>
            <w:tcW w:w="720" w:type="dxa"/>
            <w:tcBorders>
              <w:top w:val="single" w:sz="4" w:space="0" w:color="auto"/>
              <w:left w:val="nil"/>
              <w:bottom w:val="single" w:sz="4" w:space="0" w:color="auto"/>
              <w:right w:val="single" w:sz="4" w:space="0" w:color="auto"/>
            </w:tcBorders>
            <w:noWrap/>
            <w:vAlign w:val="bottom"/>
            <w:hideMark/>
          </w:tcPr>
          <w:p w14:paraId="0B096A98"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2025</w:t>
            </w:r>
          </w:p>
        </w:tc>
        <w:tc>
          <w:tcPr>
            <w:tcW w:w="720" w:type="dxa"/>
            <w:tcBorders>
              <w:top w:val="single" w:sz="4" w:space="0" w:color="auto"/>
              <w:left w:val="nil"/>
              <w:bottom w:val="single" w:sz="4" w:space="0" w:color="auto"/>
              <w:right w:val="single" w:sz="4" w:space="0" w:color="auto"/>
            </w:tcBorders>
            <w:noWrap/>
            <w:vAlign w:val="bottom"/>
            <w:hideMark/>
          </w:tcPr>
          <w:p w14:paraId="034AFDBF"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2030</w:t>
            </w:r>
          </w:p>
        </w:tc>
        <w:tc>
          <w:tcPr>
            <w:tcW w:w="720" w:type="dxa"/>
            <w:tcBorders>
              <w:top w:val="single" w:sz="4" w:space="0" w:color="auto"/>
              <w:left w:val="nil"/>
              <w:bottom w:val="single" w:sz="4" w:space="0" w:color="auto"/>
              <w:right w:val="single" w:sz="4" w:space="0" w:color="auto"/>
            </w:tcBorders>
            <w:noWrap/>
            <w:vAlign w:val="bottom"/>
            <w:hideMark/>
          </w:tcPr>
          <w:p w14:paraId="6EF54886"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2035</w:t>
            </w:r>
          </w:p>
        </w:tc>
        <w:tc>
          <w:tcPr>
            <w:tcW w:w="720" w:type="dxa"/>
            <w:tcBorders>
              <w:top w:val="single" w:sz="4" w:space="0" w:color="auto"/>
              <w:left w:val="nil"/>
              <w:bottom w:val="single" w:sz="4" w:space="0" w:color="auto"/>
              <w:right w:val="single" w:sz="4" w:space="0" w:color="auto"/>
            </w:tcBorders>
            <w:noWrap/>
            <w:vAlign w:val="bottom"/>
            <w:hideMark/>
          </w:tcPr>
          <w:p w14:paraId="52EC291A"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2040</w:t>
            </w:r>
          </w:p>
        </w:tc>
      </w:tr>
      <w:tr w:rsidR="00F00971" w:rsidRPr="00F00971" w14:paraId="5B2DFAB1" w14:textId="77777777" w:rsidTr="00025BBC">
        <w:trPr>
          <w:trHeight w:val="290"/>
        </w:trPr>
        <w:tc>
          <w:tcPr>
            <w:tcW w:w="4531" w:type="dxa"/>
            <w:tcBorders>
              <w:top w:val="nil"/>
              <w:left w:val="single" w:sz="4" w:space="0" w:color="auto"/>
              <w:bottom w:val="single" w:sz="4" w:space="0" w:color="auto"/>
              <w:right w:val="single" w:sz="4" w:space="0" w:color="auto"/>
            </w:tcBorders>
            <w:noWrap/>
            <w:vAlign w:val="bottom"/>
            <w:hideMark/>
          </w:tcPr>
          <w:p w14:paraId="7BB6797A" w14:textId="77777777" w:rsidR="00F00971" w:rsidRPr="00F00971" w:rsidRDefault="00F00971" w:rsidP="00F00971">
            <w:pPr>
              <w:widowControl/>
              <w:autoSpaceDE/>
              <w:autoSpaceDN/>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People aged 65-69</w:t>
            </w:r>
          </w:p>
        </w:tc>
        <w:tc>
          <w:tcPr>
            <w:tcW w:w="409" w:type="dxa"/>
            <w:tcBorders>
              <w:top w:val="nil"/>
              <w:left w:val="nil"/>
              <w:bottom w:val="single" w:sz="4" w:space="0" w:color="auto"/>
              <w:right w:val="single" w:sz="4" w:space="0" w:color="auto"/>
            </w:tcBorders>
            <w:noWrap/>
            <w:vAlign w:val="bottom"/>
            <w:hideMark/>
          </w:tcPr>
          <w:p w14:paraId="225F42EB"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151</w:t>
            </w:r>
          </w:p>
        </w:tc>
        <w:tc>
          <w:tcPr>
            <w:tcW w:w="720" w:type="dxa"/>
            <w:tcBorders>
              <w:top w:val="nil"/>
              <w:left w:val="nil"/>
              <w:bottom w:val="single" w:sz="4" w:space="0" w:color="auto"/>
              <w:right w:val="single" w:sz="4" w:space="0" w:color="auto"/>
            </w:tcBorders>
            <w:noWrap/>
            <w:vAlign w:val="bottom"/>
            <w:hideMark/>
          </w:tcPr>
          <w:p w14:paraId="3B97061E"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161</w:t>
            </w:r>
          </w:p>
        </w:tc>
        <w:tc>
          <w:tcPr>
            <w:tcW w:w="720" w:type="dxa"/>
            <w:tcBorders>
              <w:top w:val="nil"/>
              <w:left w:val="nil"/>
              <w:bottom w:val="single" w:sz="4" w:space="0" w:color="auto"/>
              <w:right w:val="single" w:sz="4" w:space="0" w:color="auto"/>
            </w:tcBorders>
            <w:noWrap/>
            <w:vAlign w:val="bottom"/>
            <w:hideMark/>
          </w:tcPr>
          <w:p w14:paraId="2BD27116"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176</w:t>
            </w:r>
          </w:p>
        </w:tc>
        <w:tc>
          <w:tcPr>
            <w:tcW w:w="720" w:type="dxa"/>
            <w:tcBorders>
              <w:top w:val="nil"/>
              <w:left w:val="nil"/>
              <w:bottom w:val="single" w:sz="4" w:space="0" w:color="auto"/>
              <w:right w:val="single" w:sz="4" w:space="0" w:color="auto"/>
            </w:tcBorders>
            <w:noWrap/>
            <w:vAlign w:val="bottom"/>
            <w:hideMark/>
          </w:tcPr>
          <w:p w14:paraId="434917B5"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162</w:t>
            </w:r>
          </w:p>
        </w:tc>
        <w:tc>
          <w:tcPr>
            <w:tcW w:w="720" w:type="dxa"/>
            <w:tcBorders>
              <w:top w:val="nil"/>
              <w:left w:val="nil"/>
              <w:bottom w:val="single" w:sz="4" w:space="0" w:color="auto"/>
              <w:right w:val="single" w:sz="4" w:space="0" w:color="auto"/>
            </w:tcBorders>
            <w:noWrap/>
            <w:vAlign w:val="bottom"/>
            <w:hideMark/>
          </w:tcPr>
          <w:p w14:paraId="661F55DD"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143</w:t>
            </w:r>
          </w:p>
        </w:tc>
      </w:tr>
      <w:tr w:rsidR="00F00971" w:rsidRPr="00F00971" w14:paraId="06227A96" w14:textId="77777777" w:rsidTr="00025BBC">
        <w:trPr>
          <w:trHeight w:val="290"/>
        </w:trPr>
        <w:tc>
          <w:tcPr>
            <w:tcW w:w="4531" w:type="dxa"/>
            <w:tcBorders>
              <w:top w:val="nil"/>
              <w:left w:val="single" w:sz="4" w:space="0" w:color="auto"/>
              <w:bottom w:val="single" w:sz="4" w:space="0" w:color="auto"/>
              <w:right w:val="single" w:sz="4" w:space="0" w:color="auto"/>
            </w:tcBorders>
            <w:noWrap/>
            <w:vAlign w:val="bottom"/>
            <w:hideMark/>
          </w:tcPr>
          <w:p w14:paraId="0DF7385D" w14:textId="77777777" w:rsidR="00F00971" w:rsidRPr="00F00971" w:rsidRDefault="00F00971" w:rsidP="00F00971">
            <w:pPr>
              <w:widowControl/>
              <w:autoSpaceDE/>
              <w:autoSpaceDN/>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People aged 70-74</w:t>
            </w:r>
          </w:p>
        </w:tc>
        <w:tc>
          <w:tcPr>
            <w:tcW w:w="409" w:type="dxa"/>
            <w:tcBorders>
              <w:top w:val="nil"/>
              <w:left w:val="nil"/>
              <w:bottom w:val="single" w:sz="4" w:space="0" w:color="auto"/>
              <w:right w:val="single" w:sz="4" w:space="0" w:color="auto"/>
            </w:tcBorders>
            <w:noWrap/>
            <w:vAlign w:val="bottom"/>
            <w:hideMark/>
          </w:tcPr>
          <w:p w14:paraId="6039F604"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207</w:t>
            </w:r>
          </w:p>
        </w:tc>
        <w:tc>
          <w:tcPr>
            <w:tcW w:w="720" w:type="dxa"/>
            <w:tcBorders>
              <w:top w:val="nil"/>
              <w:left w:val="nil"/>
              <w:bottom w:val="single" w:sz="4" w:space="0" w:color="auto"/>
              <w:right w:val="single" w:sz="4" w:space="0" w:color="auto"/>
            </w:tcBorders>
            <w:noWrap/>
            <w:vAlign w:val="bottom"/>
            <w:hideMark/>
          </w:tcPr>
          <w:p w14:paraId="2A9FD411"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219</w:t>
            </w:r>
          </w:p>
        </w:tc>
        <w:tc>
          <w:tcPr>
            <w:tcW w:w="720" w:type="dxa"/>
            <w:tcBorders>
              <w:top w:val="nil"/>
              <w:left w:val="nil"/>
              <w:bottom w:val="single" w:sz="4" w:space="0" w:color="auto"/>
              <w:right w:val="single" w:sz="4" w:space="0" w:color="auto"/>
            </w:tcBorders>
            <w:noWrap/>
            <w:vAlign w:val="bottom"/>
            <w:hideMark/>
          </w:tcPr>
          <w:p w14:paraId="50975722"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259</w:t>
            </w:r>
          </w:p>
        </w:tc>
        <w:tc>
          <w:tcPr>
            <w:tcW w:w="720" w:type="dxa"/>
            <w:tcBorders>
              <w:top w:val="nil"/>
              <w:left w:val="nil"/>
              <w:bottom w:val="single" w:sz="4" w:space="0" w:color="auto"/>
              <w:right w:val="single" w:sz="4" w:space="0" w:color="auto"/>
            </w:tcBorders>
            <w:noWrap/>
            <w:vAlign w:val="bottom"/>
            <w:hideMark/>
          </w:tcPr>
          <w:p w14:paraId="58F68DB7"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292</w:t>
            </w:r>
          </w:p>
        </w:tc>
        <w:tc>
          <w:tcPr>
            <w:tcW w:w="720" w:type="dxa"/>
            <w:tcBorders>
              <w:top w:val="nil"/>
              <w:left w:val="nil"/>
              <w:bottom w:val="single" w:sz="4" w:space="0" w:color="auto"/>
              <w:right w:val="single" w:sz="4" w:space="0" w:color="auto"/>
            </w:tcBorders>
            <w:noWrap/>
            <w:vAlign w:val="bottom"/>
            <w:hideMark/>
          </w:tcPr>
          <w:p w14:paraId="05A78192"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268</w:t>
            </w:r>
          </w:p>
        </w:tc>
      </w:tr>
      <w:tr w:rsidR="00F00971" w:rsidRPr="00F00971" w14:paraId="6CC7B39C" w14:textId="77777777" w:rsidTr="00025BBC">
        <w:trPr>
          <w:trHeight w:val="290"/>
        </w:trPr>
        <w:tc>
          <w:tcPr>
            <w:tcW w:w="4531" w:type="dxa"/>
            <w:tcBorders>
              <w:top w:val="nil"/>
              <w:left w:val="single" w:sz="4" w:space="0" w:color="auto"/>
              <w:bottom w:val="single" w:sz="4" w:space="0" w:color="auto"/>
              <w:right w:val="single" w:sz="4" w:space="0" w:color="auto"/>
            </w:tcBorders>
            <w:noWrap/>
            <w:vAlign w:val="bottom"/>
            <w:hideMark/>
          </w:tcPr>
          <w:p w14:paraId="73C576F9" w14:textId="77777777" w:rsidR="00F00971" w:rsidRPr="00F00971" w:rsidRDefault="00F00971" w:rsidP="00F00971">
            <w:pPr>
              <w:widowControl/>
              <w:autoSpaceDE/>
              <w:autoSpaceDN/>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People aged 75-79</w:t>
            </w:r>
          </w:p>
        </w:tc>
        <w:tc>
          <w:tcPr>
            <w:tcW w:w="409" w:type="dxa"/>
            <w:tcBorders>
              <w:top w:val="nil"/>
              <w:left w:val="nil"/>
              <w:bottom w:val="single" w:sz="4" w:space="0" w:color="auto"/>
              <w:right w:val="single" w:sz="4" w:space="0" w:color="auto"/>
            </w:tcBorders>
            <w:noWrap/>
            <w:vAlign w:val="bottom"/>
            <w:hideMark/>
          </w:tcPr>
          <w:p w14:paraId="79722E48"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312</w:t>
            </w:r>
          </w:p>
        </w:tc>
        <w:tc>
          <w:tcPr>
            <w:tcW w:w="720" w:type="dxa"/>
            <w:tcBorders>
              <w:top w:val="nil"/>
              <w:left w:val="nil"/>
              <w:bottom w:val="single" w:sz="4" w:space="0" w:color="auto"/>
              <w:right w:val="single" w:sz="4" w:space="0" w:color="auto"/>
            </w:tcBorders>
            <w:noWrap/>
            <w:vAlign w:val="bottom"/>
            <w:hideMark/>
          </w:tcPr>
          <w:p w14:paraId="2C667BDD"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329</w:t>
            </w:r>
          </w:p>
        </w:tc>
        <w:tc>
          <w:tcPr>
            <w:tcW w:w="720" w:type="dxa"/>
            <w:tcBorders>
              <w:top w:val="nil"/>
              <w:left w:val="nil"/>
              <w:bottom w:val="single" w:sz="4" w:space="0" w:color="auto"/>
              <w:right w:val="single" w:sz="4" w:space="0" w:color="auto"/>
            </w:tcBorders>
            <w:noWrap/>
            <w:vAlign w:val="bottom"/>
            <w:hideMark/>
          </w:tcPr>
          <w:p w14:paraId="72AAA2ED"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360</w:t>
            </w:r>
          </w:p>
        </w:tc>
        <w:tc>
          <w:tcPr>
            <w:tcW w:w="720" w:type="dxa"/>
            <w:tcBorders>
              <w:top w:val="nil"/>
              <w:left w:val="nil"/>
              <w:bottom w:val="single" w:sz="4" w:space="0" w:color="auto"/>
              <w:right w:val="single" w:sz="4" w:space="0" w:color="auto"/>
            </w:tcBorders>
            <w:noWrap/>
            <w:vAlign w:val="bottom"/>
            <w:hideMark/>
          </w:tcPr>
          <w:p w14:paraId="17394F8B"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426</w:t>
            </w:r>
          </w:p>
        </w:tc>
        <w:tc>
          <w:tcPr>
            <w:tcW w:w="720" w:type="dxa"/>
            <w:tcBorders>
              <w:top w:val="nil"/>
              <w:left w:val="nil"/>
              <w:bottom w:val="single" w:sz="4" w:space="0" w:color="auto"/>
              <w:right w:val="single" w:sz="4" w:space="0" w:color="auto"/>
            </w:tcBorders>
            <w:noWrap/>
            <w:vAlign w:val="bottom"/>
            <w:hideMark/>
          </w:tcPr>
          <w:p w14:paraId="0CAD3B46"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488</w:t>
            </w:r>
          </w:p>
        </w:tc>
      </w:tr>
      <w:tr w:rsidR="00F00971" w:rsidRPr="00F00971" w14:paraId="50703702" w14:textId="77777777" w:rsidTr="00025BBC">
        <w:trPr>
          <w:trHeight w:val="290"/>
        </w:trPr>
        <w:tc>
          <w:tcPr>
            <w:tcW w:w="4531" w:type="dxa"/>
            <w:tcBorders>
              <w:top w:val="nil"/>
              <w:left w:val="single" w:sz="4" w:space="0" w:color="auto"/>
              <w:bottom w:val="single" w:sz="4" w:space="0" w:color="auto"/>
              <w:right w:val="single" w:sz="4" w:space="0" w:color="auto"/>
            </w:tcBorders>
            <w:noWrap/>
            <w:vAlign w:val="bottom"/>
            <w:hideMark/>
          </w:tcPr>
          <w:p w14:paraId="444256F1" w14:textId="77777777" w:rsidR="00F00971" w:rsidRPr="00F00971" w:rsidRDefault="00F00971" w:rsidP="00F00971">
            <w:pPr>
              <w:widowControl/>
              <w:autoSpaceDE/>
              <w:autoSpaceDN/>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People aged 80-84</w:t>
            </w:r>
          </w:p>
        </w:tc>
        <w:tc>
          <w:tcPr>
            <w:tcW w:w="409" w:type="dxa"/>
            <w:tcBorders>
              <w:top w:val="nil"/>
              <w:left w:val="nil"/>
              <w:bottom w:val="single" w:sz="4" w:space="0" w:color="auto"/>
              <w:right w:val="single" w:sz="4" w:space="0" w:color="auto"/>
            </w:tcBorders>
            <w:noWrap/>
            <w:vAlign w:val="bottom"/>
            <w:hideMark/>
          </w:tcPr>
          <w:p w14:paraId="400E2B5A"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367</w:t>
            </w:r>
          </w:p>
        </w:tc>
        <w:tc>
          <w:tcPr>
            <w:tcW w:w="720" w:type="dxa"/>
            <w:tcBorders>
              <w:top w:val="nil"/>
              <w:left w:val="nil"/>
              <w:bottom w:val="single" w:sz="4" w:space="0" w:color="auto"/>
              <w:right w:val="single" w:sz="4" w:space="0" w:color="auto"/>
            </w:tcBorders>
            <w:noWrap/>
            <w:vAlign w:val="bottom"/>
            <w:hideMark/>
          </w:tcPr>
          <w:p w14:paraId="7AA1E054"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367</w:t>
            </w:r>
          </w:p>
        </w:tc>
        <w:tc>
          <w:tcPr>
            <w:tcW w:w="720" w:type="dxa"/>
            <w:tcBorders>
              <w:top w:val="nil"/>
              <w:left w:val="nil"/>
              <w:bottom w:val="single" w:sz="4" w:space="0" w:color="auto"/>
              <w:right w:val="single" w:sz="4" w:space="0" w:color="auto"/>
            </w:tcBorders>
            <w:noWrap/>
            <w:vAlign w:val="bottom"/>
            <w:hideMark/>
          </w:tcPr>
          <w:p w14:paraId="2F27DF0B"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465</w:t>
            </w:r>
          </w:p>
        </w:tc>
        <w:tc>
          <w:tcPr>
            <w:tcW w:w="720" w:type="dxa"/>
            <w:tcBorders>
              <w:top w:val="nil"/>
              <w:left w:val="nil"/>
              <w:bottom w:val="single" w:sz="4" w:space="0" w:color="auto"/>
              <w:right w:val="single" w:sz="4" w:space="0" w:color="auto"/>
            </w:tcBorders>
            <w:noWrap/>
            <w:vAlign w:val="bottom"/>
            <w:hideMark/>
          </w:tcPr>
          <w:p w14:paraId="27A46B76"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509</w:t>
            </w:r>
          </w:p>
        </w:tc>
        <w:tc>
          <w:tcPr>
            <w:tcW w:w="720" w:type="dxa"/>
            <w:tcBorders>
              <w:top w:val="nil"/>
              <w:left w:val="nil"/>
              <w:bottom w:val="single" w:sz="4" w:space="0" w:color="auto"/>
              <w:right w:val="single" w:sz="4" w:space="0" w:color="auto"/>
            </w:tcBorders>
            <w:noWrap/>
            <w:vAlign w:val="bottom"/>
            <w:hideMark/>
          </w:tcPr>
          <w:p w14:paraId="69BB45C3"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620</w:t>
            </w:r>
          </w:p>
        </w:tc>
      </w:tr>
      <w:tr w:rsidR="00F00971" w:rsidRPr="00F00971" w14:paraId="72DF3A69" w14:textId="77777777" w:rsidTr="00025BBC">
        <w:trPr>
          <w:trHeight w:val="290"/>
        </w:trPr>
        <w:tc>
          <w:tcPr>
            <w:tcW w:w="4531" w:type="dxa"/>
            <w:tcBorders>
              <w:top w:val="nil"/>
              <w:left w:val="single" w:sz="4" w:space="0" w:color="auto"/>
              <w:bottom w:val="single" w:sz="4" w:space="0" w:color="auto"/>
              <w:right w:val="single" w:sz="4" w:space="0" w:color="auto"/>
            </w:tcBorders>
            <w:noWrap/>
            <w:vAlign w:val="bottom"/>
            <w:hideMark/>
          </w:tcPr>
          <w:p w14:paraId="7BFB3A83" w14:textId="77777777" w:rsidR="00F00971" w:rsidRPr="00F00971" w:rsidRDefault="00F00971" w:rsidP="00F00971">
            <w:pPr>
              <w:widowControl/>
              <w:autoSpaceDE/>
              <w:autoSpaceDN/>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People aged 85-89</w:t>
            </w:r>
          </w:p>
        </w:tc>
        <w:tc>
          <w:tcPr>
            <w:tcW w:w="409" w:type="dxa"/>
            <w:tcBorders>
              <w:top w:val="nil"/>
              <w:left w:val="nil"/>
              <w:bottom w:val="single" w:sz="4" w:space="0" w:color="auto"/>
              <w:right w:val="single" w:sz="4" w:space="0" w:color="auto"/>
            </w:tcBorders>
            <w:noWrap/>
            <w:vAlign w:val="bottom"/>
            <w:hideMark/>
          </w:tcPr>
          <w:p w14:paraId="7000BE48"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404</w:t>
            </w:r>
          </w:p>
        </w:tc>
        <w:tc>
          <w:tcPr>
            <w:tcW w:w="720" w:type="dxa"/>
            <w:tcBorders>
              <w:top w:val="nil"/>
              <w:left w:val="nil"/>
              <w:bottom w:val="single" w:sz="4" w:space="0" w:color="auto"/>
              <w:right w:val="single" w:sz="4" w:space="0" w:color="auto"/>
            </w:tcBorders>
            <w:noWrap/>
            <w:vAlign w:val="bottom"/>
            <w:hideMark/>
          </w:tcPr>
          <w:p w14:paraId="6790B263"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404</w:t>
            </w:r>
          </w:p>
        </w:tc>
        <w:tc>
          <w:tcPr>
            <w:tcW w:w="720" w:type="dxa"/>
            <w:tcBorders>
              <w:top w:val="nil"/>
              <w:left w:val="nil"/>
              <w:bottom w:val="single" w:sz="4" w:space="0" w:color="auto"/>
              <w:right w:val="single" w:sz="4" w:space="0" w:color="auto"/>
            </w:tcBorders>
            <w:noWrap/>
            <w:vAlign w:val="bottom"/>
            <w:hideMark/>
          </w:tcPr>
          <w:p w14:paraId="35185EE6"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363</w:t>
            </w:r>
          </w:p>
        </w:tc>
        <w:tc>
          <w:tcPr>
            <w:tcW w:w="720" w:type="dxa"/>
            <w:tcBorders>
              <w:top w:val="nil"/>
              <w:left w:val="nil"/>
              <w:bottom w:val="single" w:sz="4" w:space="0" w:color="auto"/>
              <w:right w:val="single" w:sz="4" w:space="0" w:color="auto"/>
            </w:tcBorders>
            <w:noWrap/>
            <w:vAlign w:val="bottom"/>
            <w:hideMark/>
          </w:tcPr>
          <w:p w14:paraId="02FD7CB8"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469</w:t>
            </w:r>
          </w:p>
        </w:tc>
        <w:tc>
          <w:tcPr>
            <w:tcW w:w="720" w:type="dxa"/>
            <w:tcBorders>
              <w:top w:val="nil"/>
              <w:left w:val="nil"/>
              <w:bottom w:val="single" w:sz="4" w:space="0" w:color="auto"/>
              <w:right w:val="single" w:sz="4" w:space="0" w:color="auto"/>
            </w:tcBorders>
            <w:noWrap/>
            <w:vAlign w:val="bottom"/>
            <w:hideMark/>
          </w:tcPr>
          <w:p w14:paraId="51A6462E"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525</w:t>
            </w:r>
          </w:p>
        </w:tc>
      </w:tr>
      <w:tr w:rsidR="00F00971" w:rsidRPr="00F00971" w14:paraId="736E6B8C" w14:textId="77777777" w:rsidTr="00025BBC">
        <w:trPr>
          <w:trHeight w:val="290"/>
        </w:trPr>
        <w:tc>
          <w:tcPr>
            <w:tcW w:w="4531" w:type="dxa"/>
            <w:tcBorders>
              <w:top w:val="nil"/>
              <w:left w:val="single" w:sz="4" w:space="0" w:color="auto"/>
              <w:bottom w:val="single" w:sz="4" w:space="0" w:color="auto"/>
              <w:right w:val="single" w:sz="4" w:space="0" w:color="auto"/>
            </w:tcBorders>
            <w:noWrap/>
            <w:vAlign w:val="bottom"/>
            <w:hideMark/>
          </w:tcPr>
          <w:p w14:paraId="78D0CDF8" w14:textId="77777777" w:rsidR="00F00971" w:rsidRPr="00F00971" w:rsidRDefault="00F00971" w:rsidP="00F00971">
            <w:pPr>
              <w:widowControl/>
              <w:autoSpaceDE/>
              <w:autoSpaceDN/>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lastRenderedPageBreak/>
              <w:t>People aged 90 and over</w:t>
            </w:r>
          </w:p>
        </w:tc>
        <w:tc>
          <w:tcPr>
            <w:tcW w:w="409" w:type="dxa"/>
            <w:tcBorders>
              <w:top w:val="nil"/>
              <w:left w:val="nil"/>
              <w:bottom w:val="single" w:sz="4" w:space="0" w:color="auto"/>
              <w:right w:val="single" w:sz="4" w:space="0" w:color="auto"/>
            </w:tcBorders>
            <w:noWrap/>
            <w:vAlign w:val="bottom"/>
            <w:hideMark/>
          </w:tcPr>
          <w:p w14:paraId="7D7A9ECC"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377</w:t>
            </w:r>
          </w:p>
        </w:tc>
        <w:tc>
          <w:tcPr>
            <w:tcW w:w="720" w:type="dxa"/>
            <w:tcBorders>
              <w:top w:val="nil"/>
              <w:left w:val="nil"/>
              <w:bottom w:val="single" w:sz="4" w:space="0" w:color="auto"/>
              <w:right w:val="single" w:sz="4" w:space="0" w:color="auto"/>
            </w:tcBorders>
            <w:noWrap/>
            <w:vAlign w:val="bottom"/>
            <w:hideMark/>
          </w:tcPr>
          <w:p w14:paraId="642AF41D"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377</w:t>
            </w:r>
          </w:p>
        </w:tc>
        <w:tc>
          <w:tcPr>
            <w:tcW w:w="720" w:type="dxa"/>
            <w:tcBorders>
              <w:top w:val="nil"/>
              <w:left w:val="nil"/>
              <w:bottom w:val="single" w:sz="4" w:space="0" w:color="auto"/>
              <w:right w:val="single" w:sz="4" w:space="0" w:color="auto"/>
            </w:tcBorders>
            <w:noWrap/>
            <w:vAlign w:val="bottom"/>
            <w:hideMark/>
          </w:tcPr>
          <w:p w14:paraId="5EE3EE0D"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436</w:t>
            </w:r>
          </w:p>
        </w:tc>
        <w:tc>
          <w:tcPr>
            <w:tcW w:w="720" w:type="dxa"/>
            <w:tcBorders>
              <w:top w:val="nil"/>
              <w:left w:val="nil"/>
              <w:bottom w:val="single" w:sz="4" w:space="0" w:color="auto"/>
              <w:right w:val="single" w:sz="4" w:space="0" w:color="auto"/>
            </w:tcBorders>
            <w:noWrap/>
            <w:vAlign w:val="bottom"/>
            <w:hideMark/>
          </w:tcPr>
          <w:p w14:paraId="693049AD"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401</w:t>
            </w:r>
          </w:p>
        </w:tc>
        <w:tc>
          <w:tcPr>
            <w:tcW w:w="720" w:type="dxa"/>
            <w:tcBorders>
              <w:top w:val="nil"/>
              <w:left w:val="nil"/>
              <w:bottom w:val="single" w:sz="4" w:space="0" w:color="auto"/>
              <w:right w:val="single" w:sz="4" w:space="0" w:color="auto"/>
            </w:tcBorders>
            <w:noWrap/>
            <w:vAlign w:val="bottom"/>
            <w:hideMark/>
          </w:tcPr>
          <w:p w14:paraId="7C8773B2"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519</w:t>
            </w:r>
          </w:p>
        </w:tc>
      </w:tr>
      <w:tr w:rsidR="00F00971" w:rsidRPr="00F00971" w14:paraId="2B48A0A2" w14:textId="77777777" w:rsidTr="00025BBC">
        <w:trPr>
          <w:trHeight w:val="290"/>
        </w:trPr>
        <w:tc>
          <w:tcPr>
            <w:tcW w:w="4531" w:type="dxa"/>
            <w:tcBorders>
              <w:top w:val="nil"/>
              <w:left w:val="single" w:sz="4" w:space="0" w:color="auto"/>
              <w:bottom w:val="single" w:sz="4" w:space="0" w:color="auto"/>
              <w:right w:val="single" w:sz="4" w:space="0" w:color="auto"/>
            </w:tcBorders>
            <w:noWrap/>
            <w:vAlign w:val="bottom"/>
            <w:hideMark/>
          </w:tcPr>
          <w:p w14:paraId="6E20CBAC" w14:textId="77777777" w:rsidR="00F00971" w:rsidRPr="00F00971" w:rsidRDefault="00F00971" w:rsidP="00F00971">
            <w:pPr>
              <w:widowControl/>
              <w:autoSpaceDE/>
              <w:autoSpaceDN/>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Total population aged 65 and over</w:t>
            </w:r>
          </w:p>
        </w:tc>
        <w:tc>
          <w:tcPr>
            <w:tcW w:w="409" w:type="dxa"/>
            <w:tcBorders>
              <w:top w:val="nil"/>
              <w:left w:val="nil"/>
              <w:bottom w:val="single" w:sz="4" w:space="0" w:color="auto"/>
              <w:right w:val="single" w:sz="4" w:space="0" w:color="auto"/>
            </w:tcBorders>
            <w:noWrap/>
            <w:vAlign w:val="bottom"/>
            <w:hideMark/>
          </w:tcPr>
          <w:p w14:paraId="7B328263"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1,817</w:t>
            </w:r>
          </w:p>
        </w:tc>
        <w:tc>
          <w:tcPr>
            <w:tcW w:w="720" w:type="dxa"/>
            <w:tcBorders>
              <w:top w:val="nil"/>
              <w:left w:val="nil"/>
              <w:bottom w:val="single" w:sz="4" w:space="0" w:color="auto"/>
              <w:right w:val="single" w:sz="4" w:space="0" w:color="auto"/>
            </w:tcBorders>
            <w:noWrap/>
            <w:vAlign w:val="bottom"/>
            <w:hideMark/>
          </w:tcPr>
          <w:p w14:paraId="5BC10860"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1,857</w:t>
            </w:r>
          </w:p>
        </w:tc>
        <w:tc>
          <w:tcPr>
            <w:tcW w:w="720" w:type="dxa"/>
            <w:tcBorders>
              <w:top w:val="nil"/>
              <w:left w:val="nil"/>
              <w:bottom w:val="single" w:sz="4" w:space="0" w:color="auto"/>
              <w:right w:val="single" w:sz="4" w:space="0" w:color="auto"/>
            </w:tcBorders>
            <w:noWrap/>
            <w:vAlign w:val="bottom"/>
            <w:hideMark/>
          </w:tcPr>
          <w:p w14:paraId="176B20D2"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2,059</w:t>
            </w:r>
          </w:p>
        </w:tc>
        <w:tc>
          <w:tcPr>
            <w:tcW w:w="720" w:type="dxa"/>
            <w:tcBorders>
              <w:top w:val="nil"/>
              <w:left w:val="nil"/>
              <w:bottom w:val="single" w:sz="4" w:space="0" w:color="auto"/>
              <w:right w:val="single" w:sz="4" w:space="0" w:color="auto"/>
            </w:tcBorders>
            <w:noWrap/>
            <w:vAlign w:val="bottom"/>
            <w:hideMark/>
          </w:tcPr>
          <w:p w14:paraId="03D6D8E2"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2,258</w:t>
            </w:r>
          </w:p>
        </w:tc>
        <w:tc>
          <w:tcPr>
            <w:tcW w:w="720" w:type="dxa"/>
            <w:tcBorders>
              <w:top w:val="nil"/>
              <w:left w:val="nil"/>
              <w:bottom w:val="single" w:sz="4" w:space="0" w:color="auto"/>
              <w:right w:val="single" w:sz="4" w:space="0" w:color="auto"/>
            </w:tcBorders>
            <w:noWrap/>
            <w:vAlign w:val="bottom"/>
            <w:hideMark/>
          </w:tcPr>
          <w:p w14:paraId="644AF93E" w14:textId="77777777" w:rsidR="00F00971" w:rsidRPr="00F00971" w:rsidRDefault="00F00971" w:rsidP="00F00971">
            <w:pPr>
              <w:widowControl/>
              <w:autoSpaceDE/>
              <w:autoSpaceDN/>
              <w:jc w:val="right"/>
              <w:rPr>
                <w:rFonts w:ascii="Aptos Narrow" w:eastAsia="Times New Roman" w:hAnsi="Aptos Narrow" w:cs="Times New Roman"/>
                <w:color w:val="000000"/>
                <w:lang w:bidi="ar-SA"/>
              </w:rPr>
            </w:pPr>
            <w:r w:rsidRPr="00F00971">
              <w:rPr>
                <w:rFonts w:ascii="Aptos Narrow" w:eastAsia="Times New Roman" w:hAnsi="Aptos Narrow" w:cs="Times New Roman"/>
                <w:color w:val="000000"/>
                <w:lang w:bidi="ar-SA"/>
              </w:rPr>
              <w:t>2,562</w:t>
            </w:r>
          </w:p>
        </w:tc>
      </w:tr>
    </w:tbl>
    <w:p w14:paraId="5AA88BBD" w14:textId="615FED71" w:rsidR="00520ADE" w:rsidRDefault="00520ADE" w:rsidP="0062036D">
      <w:pPr>
        <w:pStyle w:val="BodyText"/>
        <w:ind w:firstLine="720"/>
        <w:rPr>
          <w:i/>
          <w:sz w:val="18"/>
        </w:rPr>
      </w:pPr>
    </w:p>
    <w:p w14:paraId="684BF6C3" w14:textId="6DCD56E4" w:rsidR="0062036D" w:rsidRPr="00BC445F" w:rsidRDefault="00EE19B6" w:rsidP="00F23909">
      <w:pPr>
        <w:pStyle w:val="BodyText"/>
        <w:ind w:left="142" w:right="1435"/>
        <w:rPr>
          <w:b/>
          <w:sz w:val="16"/>
          <w:szCs w:val="16"/>
        </w:rPr>
      </w:pPr>
      <w:r>
        <w:rPr>
          <w:i/>
          <w:sz w:val="18"/>
        </w:rPr>
        <w:t xml:space="preserve">Table 4: Dementia </w:t>
      </w:r>
      <w:r w:rsidR="00F23909">
        <w:rPr>
          <w:i/>
          <w:sz w:val="18"/>
        </w:rPr>
        <w:t xml:space="preserve">projections for </w:t>
      </w:r>
      <w:r w:rsidR="00340BF2">
        <w:rPr>
          <w:i/>
          <w:sz w:val="18"/>
        </w:rPr>
        <w:t>Knowsley Source</w:t>
      </w:r>
      <w:r w:rsidR="0062036D">
        <w:rPr>
          <w:i/>
          <w:sz w:val="18"/>
        </w:rPr>
        <w:t>:</w:t>
      </w:r>
      <w:r w:rsidR="00EC4F10">
        <w:rPr>
          <w:i/>
          <w:sz w:val="18"/>
        </w:rPr>
        <w:t xml:space="preserve"> </w:t>
      </w:r>
      <w:r w:rsidR="0062036D">
        <w:rPr>
          <w:i/>
          <w:sz w:val="18"/>
        </w:rPr>
        <w:t xml:space="preserve">www.poppi.org.uk system, and data from ONS </w:t>
      </w:r>
      <w:r w:rsidR="004568F1">
        <w:rPr>
          <w:i/>
          <w:sz w:val="18"/>
        </w:rPr>
        <w:t xml:space="preserve">© </w:t>
      </w:r>
      <w:r w:rsidR="0062036D">
        <w:rPr>
          <w:i/>
          <w:sz w:val="18"/>
        </w:rPr>
        <w:t>Crown Copyright</w:t>
      </w:r>
      <w:r w:rsidR="009911BF">
        <w:rPr>
          <w:i/>
          <w:sz w:val="18"/>
        </w:rPr>
        <w:t xml:space="preserve"> </w:t>
      </w:r>
      <w:r w:rsidR="009911BF" w:rsidRPr="009911BF">
        <w:rPr>
          <w:rFonts w:ascii="Tahoma" w:hAnsi="Tahoma" w:cs="Tahoma"/>
          <w:color w:val="000000"/>
          <w:sz w:val="16"/>
          <w:szCs w:val="16"/>
          <w:shd w:val="clear" w:color="auto" w:fill="FFFFFF"/>
        </w:rPr>
        <w:t>licensed under the </w:t>
      </w:r>
      <w:hyperlink r:id="rId24" w:tgtFrame="_blank" w:history="1">
        <w:r w:rsidR="009911BF" w:rsidRPr="00E42F78">
          <w:rPr>
            <w:rFonts w:ascii="Tahoma" w:hAnsi="Tahoma" w:cs="Tahoma"/>
            <w:color w:val="333333"/>
            <w:sz w:val="16"/>
            <w:szCs w:val="16"/>
            <w:shd w:val="clear" w:color="auto" w:fill="FFFFFF"/>
          </w:rPr>
          <w:t>Open Government Licence v. 3.0</w:t>
        </w:r>
      </w:hyperlink>
      <w:r w:rsidR="00F23909">
        <w:rPr>
          <w:sz w:val="16"/>
          <w:szCs w:val="16"/>
        </w:rPr>
        <w:t xml:space="preserve">    </w:t>
      </w:r>
      <w:r w:rsidR="00342580" w:rsidRPr="00BC445F">
        <w:rPr>
          <w:sz w:val="16"/>
          <w:szCs w:val="16"/>
        </w:rPr>
        <w:t xml:space="preserve">Figures are taken from Dementia UK: Update (2014) prepared by King's College London and the London School of Economics for the Alzheimer's Society. This report </w:t>
      </w:r>
      <w:r w:rsidR="00D45D66" w:rsidRPr="00BC445F">
        <w:rPr>
          <w:sz w:val="16"/>
          <w:szCs w:val="16"/>
        </w:rPr>
        <w:t>updates the Dementia UK (2007) report. It provides a synthesis of best available evidence for the current cost and prevalence of dementia. It aims to provide an accurate understanding of dementia prevalence and cost in the UK to assist in policy development, influencing, commissioning and service design.</w:t>
      </w:r>
    </w:p>
    <w:p w14:paraId="45469744" w14:textId="77777777" w:rsidR="0062036D" w:rsidRDefault="0062036D" w:rsidP="003C547F">
      <w:pPr>
        <w:pStyle w:val="BodyText"/>
      </w:pPr>
    </w:p>
    <w:p w14:paraId="4025F248" w14:textId="4D912C36" w:rsidR="00945806" w:rsidRPr="004E363D" w:rsidRDefault="00BC3F4F" w:rsidP="00945806">
      <w:pPr>
        <w:pStyle w:val="Heading2"/>
      </w:pPr>
      <w:bookmarkStart w:id="24" w:name="_Toc236218963"/>
      <w:r>
        <w:t>7</w:t>
      </w:r>
      <w:r w:rsidR="0057051B" w:rsidRPr="004E363D">
        <w:t>.</w:t>
      </w:r>
      <w:r w:rsidR="00375D13">
        <w:t>12</w:t>
      </w:r>
      <w:r w:rsidR="0057051B" w:rsidRPr="004E363D">
        <w:tab/>
      </w:r>
      <w:r w:rsidR="00945806" w:rsidRPr="004E363D">
        <w:t>Dementia (aged under 65 years)</w:t>
      </w:r>
      <w:bookmarkEnd w:id="24"/>
    </w:p>
    <w:p w14:paraId="0ACC8130" w14:textId="77777777" w:rsidR="00945806" w:rsidRDefault="00945806" w:rsidP="00520831">
      <w:pPr>
        <w:pStyle w:val="BodyText"/>
      </w:pPr>
    </w:p>
    <w:p w14:paraId="6284B76C" w14:textId="06237A89" w:rsidR="00945806" w:rsidRPr="009B2EE7" w:rsidRDefault="00945806" w:rsidP="00520831">
      <w:pPr>
        <w:pStyle w:val="BodyText"/>
        <w:ind w:left="142" w:right="1435"/>
      </w:pPr>
      <w:r w:rsidRPr="00994944">
        <w:t>Knowsley</w:t>
      </w:r>
      <w:r w:rsidR="00374015">
        <w:t xml:space="preserve"> sub-ICB</w:t>
      </w:r>
      <w:r w:rsidRPr="00994944">
        <w:t xml:space="preserve"> in 20</w:t>
      </w:r>
      <w:r w:rsidR="00374015">
        <w:t>2</w:t>
      </w:r>
      <w:r w:rsidR="00557103">
        <w:t>4</w:t>
      </w:r>
      <w:r w:rsidRPr="00994944">
        <w:t xml:space="preserve"> </w:t>
      </w:r>
      <w:r w:rsidR="00F90357">
        <w:t xml:space="preserve">had 55 residents </w:t>
      </w:r>
      <w:r w:rsidR="00A31F51">
        <w:t>under aged 65 who had a diagnosis of Dementia</w:t>
      </w:r>
      <w:r w:rsidR="0062273B">
        <w:t xml:space="preserve"> this equates to a crude rate of </w:t>
      </w:r>
      <w:r w:rsidR="00374015">
        <w:t>3.8</w:t>
      </w:r>
      <w:r w:rsidR="0062273B">
        <w:t xml:space="preserve"> per 10</w:t>
      </w:r>
      <w:r w:rsidR="007731E8">
        <w:t>,0</w:t>
      </w:r>
      <w:r w:rsidR="0062273B">
        <w:t>00</w:t>
      </w:r>
      <w:r w:rsidRPr="00994944">
        <w:t xml:space="preserve"> of people</w:t>
      </w:r>
      <w:r w:rsidR="007731E8">
        <w:t xml:space="preserve"> under the age of 65</w:t>
      </w:r>
      <w:r w:rsidRPr="00994944">
        <w:t xml:space="preserve">.  This is higher than </w:t>
      </w:r>
      <w:r w:rsidR="00E83264">
        <w:t>Cheshire and Merseyside</w:t>
      </w:r>
      <w:r w:rsidRPr="00994944">
        <w:t xml:space="preserve"> 3.</w:t>
      </w:r>
      <w:r w:rsidR="00E83264">
        <w:t>3</w:t>
      </w:r>
      <w:r w:rsidR="00B51D27">
        <w:t xml:space="preserve"> and</w:t>
      </w:r>
      <w:r w:rsidRPr="00994944">
        <w:t xml:space="preserve"> England </w:t>
      </w:r>
      <w:r w:rsidR="00DD69AD">
        <w:t>2.9</w:t>
      </w:r>
      <w:r w:rsidR="00BC445F">
        <w:t>.</w:t>
      </w:r>
    </w:p>
    <w:p w14:paraId="2FCABBD0" w14:textId="77777777" w:rsidR="00945806" w:rsidRDefault="00945806" w:rsidP="00945806">
      <w:pPr>
        <w:pStyle w:val="BodyText"/>
        <w:spacing w:before="4"/>
        <w:rPr>
          <w:sz w:val="36"/>
        </w:rPr>
      </w:pPr>
    </w:p>
    <w:p w14:paraId="0F93E26C" w14:textId="75E35414" w:rsidR="00945806" w:rsidRPr="004E363D" w:rsidRDefault="00BC3F4F" w:rsidP="00945806">
      <w:pPr>
        <w:pStyle w:val="Heading2"/>
      </w:pPr>
      <w:bookmarkStart w:id="25" w:name="_Toc236218964"/>
      <w:r>
        <w:t>7</w:t>
      </w:r>
      <w:r w:rsidR="0057051B" w:rsidRPr="004E363D">
        <w:t>.</w:t>
      </w:r>
      <w:r w:rsidR="00B51D27">
        <w:t>13</w:t>
      </w:r>
      <w:r w:rsidR="0057051B" w:rsidRPr="004E363D">
        <w:tab/>
      </w:r>
      <w:r w:rsidR="00945806" w:rsidRPr="004E363D">
        <w:t>Support after diagnosis</w:t>
      </w:r>
      <w:bookmarkEnd w:id="25"/>
    </w:p>
    <w:p w14:paraId="37620421" w14:textId="77777777" w:rsidR="00945806" w:rsidRDefault="00945806" w:rsidP="00945806">
      <w:pPr>
        <w:pStyle w:val="BodyText"/>
        <w:spacing w:before="1"/>
        <w:rPr>
          <w:b/>
          <w:sz w:val="21"/>
        </w:rPr>
      </w:pPr>
    </w:p>
    <w:p w14:paraId="464536FC" w14:textId="27735909" w:rsidR="00945806" w:rsidRDefault="00945806" w:rsidP="00520831">
      <w:pPr>
        <w:pStyle w:val="BodyText"/>
        <w:ind w:left="142" w:right="1435"/>
        <w:jc w:val="both"/>
      </w:pPr>
      <w:r w:rsidRPr="00B033D3">
        <w:t>Once diagnosed a range of support is available, depending upon the progression of the disease. Figure 7 gives an indication of the proportion of patients diagnosed with Dementia who have had care plan reviews</w:t>
      </w:r>
      <w:r w:rsidR="00D20246" w:rsidRPr="00B033D3">
        <w:t xml:space="preserve"> in the last 12 months</w:t>
      </w:r>
      <w:r w:rsidRPr="00B033D3">
        <w:t>.  Knowsley</w:t>
      </w:r>
      <w:r w:rsidR="00A65FBA" w:rsidRPr="00B033D3">
        <w:t xml:space="preserve"> sub-ICB</w:t>
      </w:r>
      <w:r w:rsidR="00C040A3" w:rsidRPr="00B033D3">
        <w:t xml:space="preserve"> (</w:t>
      </w:r>
      <w:r w:rsidR="008F3A9D" w:rsidRPr="00B033D3">
        <w:t>7</w:t>
      </w:r>
      <w:r w:rsidR="00146A64" w:rsidRPr="00B033D3">
        <w:t>4</w:t>
      </w:r>
      <w:r w:rsidR="00C040A3" w:rsidRPr="00B033D3">
        <w:t>.</w:t>
      </w:r>
      <w:r w:rsidR="00146A64" w:rsidRPr="00B033D3">
        <w:t>6</w:t>
      </w:r>
      <w:r w:rsidR="00C040A3" w:rsidRPr="00B033D3">
        <w:t>% 20</w:t>
      </w:r>
      <w:r w:rsidR="00A65FBA" w:rsidRPr="00B033D3">
        <w:t>2</w:t>
      </w:r>
      <w:r w:rsidR="00146A64" w:rsidRPr="00B033D3">
        <w:t>4</w:t>
      </w:r>
      <w:r w:rsidR="00C040A3" w:rsidRPr="00B033D3">
        <w:t>/</w:t>
      </w:r>
      <w:r w:rsidR="00A65FBA" w:rsidRPr="00B033D3">
        <w:t>2</w:t>
      </w:r>
      <w:r w:rsidR="00146A64" w:rsidRPr="00B033D3">
        <w:t>5</w:t>
      </w:r>
      <w:r w:rsidRPr="00B033D3">
        <w:t xml:space="preserve">) </w:t>
      </w:r>
      <w:r w:rsidR="00C040A3" w:rsidRPr="00B033D3">
        <w:t>has a lower</w:t>
      </w:r>
      <w:r w:rsidRPr="00B033D3">
        <w:t xml:space="preserve"> </w:t>
      </w:r>
      <w:r w:rsidR="003B2CD6" w:rsidRPr="00B033D3">
        <w:t>propo</w:t>
      </w:r>
      <w:r w:rsidRPr="00B033D3">
        <w:t>r</w:t>
      </w:r>
      <w:r w:rsidR="003B2CD6" w:rsidRPr="00B033D3">
        <w:t>tion</w:t>
      </w:r>
      <w:r w:rsidRPr="00B033D3">
        <w:t xml:space="preserve"> than E</w:t>
      </w:r>
      <w:r w:rsidR="00C040A3" w:rsidRPr="00B033D3">
        <w:t>ngland (7</w:t>
      </w:r>
      <w:r w:rsidR="00EA43A1" w:rsidRPr="00B033D3">
        <w:t>6.0</w:t>
      </w:r>
      <w:r w:rsidR="00C040A3" w:rsidRPr="00B033D3">
        <w:t>%)</w:t>
      </w:r>
      <w:r w:rsidR="00086F93" w:rsidRPr="00B033D3">
        <w:t xml:space="preserve"> and</w:t>
      </w:r>
      <w:r w:rsidR="00C040A3" w:rsidRPr="00B033D3">
        <w:t xml:space="preserve"> </w:t>
      </w:r>
      <w:r w:rsidR="00086F93" w:rsidRPr="00B033D3">
        <w:t>Cheshire and Merseyside</w:t>
      </w:r>
      <w:r w:rsidR="00C040A3" w:rsidRPr="00B033D3">
        <w:t xml:space="preserve"> (7</w:t>
      </w:r>
      <w:r w:rsidR="00EA43A1" w:rsidRPr="00B033D3">
        <w:t>7</w:t>
      </w:r>
      <w:r w:rsidR="00C040A3" w:rsidRPr="00B033D3">
        <w:t>.</w:t>
      </w:r>
      <w:r w:rsidR="00EA43A1" w:rsidRPr="00B033D3">
        <w:t>4</w:t>
      </w:r>
      <w:r w:rsidR="00C040A3" w:rsidRPr="00B033D3">
        <w:t>%)</w:t>
      </w:r>
      <w:r w:rsidR="00D20246" w:rsidRPr="00B033D3">
        <w:t xml:space="preserve">.  </w:t>
      </w:r>
      <w:r w:rsidR="00A60119" w:rsidRPr="00B033D3">
        <w:t xml:space="preserve">The decline in </w:t>
      </w:r>
      <w:r w:rsidR="001F563A" w:rsidRPr="00B033D3">
        <w:t xml:space="preserve">care plans reviewed in Knowsley, started </w:t>
      </w:r>
      <w:r w:rsidR="005F71D0">
        <w:t xml:space="preserve">in </w:t>
      </w:r>
      <w:r w:rsidR="001F563A" w:rsidRPr="00B033D3">
        <w:t>2017/18</w:t>
      </w:r>
      <w:r w:rsidR="003876FE" w:rsidRPr="00B033D3">
        <w:t xml:space="preserve">, which was before the Covid-19 pandemic occurred.  The pandemic </w:t>
      </w:r>
      <w:r w:rsidR="00AF7A82" w:rsidRPr="00B033D3">
        <w:t xml:space="preserve">has had a significant </w:t>
      </w:r>
      <w:r w:rsidR="00ED53E7" w:rsidRPr="00B033D3">
        <w:t>effect</w:t>
      </w:r>
      <w:r w:rsidR="00AF7A82" w:rsidRPr="00B033D3">
        <w:t xml:space="preserve"> locally and nationally.  England </w:t>
      </w:r>
      <w:r w:rsidR="004B42BA" w:rsidRPr="00B033D3">
        <w:t xml:space="preserve">and Knowsley have </w:t>
      </w:r>
      <w:r w:rsidR="00E5258C">
        <w:t xml:space="preserve">taken several </w:t>
      </w:r>
      <w:r w:rsidR="004B42BA" w:rsidRPr="00B033D3">
        <w:t xml:space="preserve">years to recover </w:t>
      </w:r>
      <w:r w:rsidR="007C5884" w:rsidRPr="00B033D3">
        <w:t xml:space="preserve">back to the </w:t>
      </w:r>
      <w:r w:rsidR="003875C6" w:rsidRPr="00B033D3">
        <w:t>s</w:t>
      </w:r>
      <w:r w:rsidR="003875C6">
        <w:t>imilar</w:t>
      </w:r>
      <w:r w:rsidR="003875C6" w:rsidRPr="00B033D3">
        <w:t xml:space="preserve"> levels</w:t>
      </w:r>
      <w:r w:rsidR="007C5884" w:rsidRPr="00B033D3">
        <w:t xml:space="preserve"> </w:t>
      </w:r>
      <w:r w:rsidR="0020234D">
        <w:t>to pre</w:t>
      </w:r>
      <w:r w:rsidR="003875C6">
        <w:t>-pandemic</w:t>
      </w:r>
      <w:r w:rsidR="007C5884" w:rsidRPr="00B033D3">
        <w:t>.</w:t>
      </w:r>
      <w:r w:rsidR="00035EAA">
        <w:t xml:space="preserve"> </w:t>
      </w:r>
    </w:p>
    <w:p w14:paraId="685B48F2" w14:textId="77777777" w:rsidR="00945806" w:rsidRDefault="00945806" w:rsidP="00945806">
      <w:pPr>
        <w:pStyle w:val="BodyText"/>
        <w:rPr>
          <w:sz w:val="26"/>
        </w:rPr>
      </w:pPr>
    </w:p>
    <w:p w14:paraId="110A5F3B" w14:textId="1393EC2E" w:rsidR="00945806" w:rsidRDefault="00833D0A" w:rsidP="00945806">
      <w:pPr>
        <w:pStyle w:val="BodyText"/>
        <w:rPr>
          <w:sz w:val="26"/>
        </w:rPr>
      </w:pPr>
      <w:r>
        <w:rPr>
          <w:noProof/>
          <w:sz w:val="26"/>
          <w:lang w:bidi="ar-SA"/>
        </w:rPr>
        <w:t xml:space="preserve"> </w:t>
      </w:r>
      <w:r w:rsidR="00945806">
        <w:rPr>
          <w:noProof/>
          <w:sz w:val="26"/>
          <w:lang w:bidi="ar-SA"/>
        </w:rPr>
        <w:t xml:space="preserve"> </w:t>
      </w:r>
      <w:r w:rsidR="007E74DD">
        <w:rPr>
          <w:noProof/>
        </w:rPr>
        <w:drawing>
          <wp:inline distT="0" distB="0" distL="0" distR="0" wp14:anchorId="2CD85C6E" wp14:editId="26B13367">
            <wp:extent cx="5759063" cy="2796623"/>
            <wp:effectExtent l="0" t="0" r="0" b="3810"/>
            <wp:docPr id="1046102738" name="Chart 1">
              <a:extLst xmlns:a="http://schemas.openxmlformats.org/drawingml/2006/main">
                <a:ext uri="{FF2B5EF4-FFF2-40B4-BE49-F238E27FC236}">
                  <a16:creationId xmlns:a16="http://schemas.microsoft.com/office/drawing/2014/main" id="{2BB84791-9121-1AD6-D7D9-D4CF9FEADF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5F422D0" w14:textId="0409D7F1" w:rsidR="00945806" w:rsidRDefault="00833D0A" w:rsidP="00945806">
      <w:pPr>
        <w:spacing w:before="1"/>
        <w:ind w:left="140"/>
        <w:jc w:val="both"/>
        <w:rPr>
          <w:i/>
          <w:sz w:val="18"/>
        </w:rPr>
      </w:pPr>
      <w:r>
        <w:rPr>
          <w:i/>
          <w:sz w:val="18"/>
        </w:rPr>
        <w:t xml:space="preserve">  </w:t>
      </w:r>
      <w:r w:rsidR="004E1CD0">
        <w:rPr>
          <w:i/>
          <w:sz w:val="18"/>
        </w:rPr>
        <w:t xml:space="preserve"> Figure 5</w:t>
      </w:r>
      <w:r w:rsidR="00945806">
        <w:rPr>
          <w:i/>
          <w:sz w:val="18"/>
        </w:rPr>
        <w:t>: Dementia patients undergoing a care review (</w:t>
      </w:r>
      <w:r w:rsidR="00916F6F">
        <w:rPr>
          <w:i/>
          <w:sz w:val="18"/>
        </w:rPr>
        <w:t>QOF</w:t>
      </w:r>
      <w:r w:rsidR="00C040A3">
        <w:rPr>
          <w:i/>
          <w:sz w:val="18"/>
        </w:rPr>
        <w:t xml:space="preserve"> 2013-14 to 20</w:t>
      </w:r>
      <w:r w:rsidR="00C8466B">
        <w:rPr>
          <w:i/>
          <w:sz w:val="18"/>
        </w:rPr>
        <w:t>2</w:t>
      </w:r>
      <w:r w:rsidR="007E74DD">
        <w:rPr>
          <w:i/>
          <w:sz w:val="18"/>
        </w:rPr>
        <w:t>4</w:t>
      </w:r>
      <w:r w:rsidR="00C040A3">
        <w:rPr>
          <w:i/>
          <w:sz w:val="18"/>
        </w:rPr>
        <w:t>/</w:t>
      </w:r>
      <w:r w:rsidR="002141BA">
        <w:rPr>
          <w:i/>
          <w:sz w:val="18"/>
        </w:rPr>
        <w:t>2</w:t>
      </w:r>
      <w:r w:rsidR="007E74DD">
        <w:rPr>
          <w:i/>
          <w:sz w:val="18"/>
        </w:rPr>
        <w:t>5</w:t>
      </w:r>
      <w:r w:rsidR="00945806">
        <w:rPr>
          <w:i/>
          <w:sz w:val="18"/>
        </w:rPr>
        <w:t>)</w:t>
      </w:r>
    </w:p>
    <w:p w14:paraId="11BDB4D8" w14:textId="77777777" w:rsidR="00547504" w:rsidRDefault="00547504" w:rsidP="00945806">
      <w:pPr>
        <w:spacing w:before="1"/>
        <w:ind w:left="140"/>
        <w:jc w:val="both"/>
        <w:rPr>
          <w:i/>
          <w:sz w:val="18"/>
        </w:rPr>
      </w:pPr>
    </w:p>
    <w:p w14:paraId="7536FC33" w14:textId="77777777" w:rsidR="00547504" w:rsidRDefault="00547504" w:rsidP="00945806">
      <w:pPr>
        <w:spacing w:before="1"/>
        <w:ind w:left="140"/>
        <w:jc w:val="both"/>
        <w:rPr>
          <w:i/>
          <w:sz w:val="18"/>
        </w:rPr>
      </w:pPr>
    </w:p>
    <w:p w14:paraId="5FBD21AE" w14:textId="77777777" w:rsidR="00A87D5B" w:rsidRDefault="00A87D5B" w:rsidP="00B033D3">
      <w:pPr>
        <w:ind w:right="1435"/>
        <w:jc w:val="both"/>
        <w:rPr>
          <w:sz w:val="24"/>
          <w:szCs w:val="24"/>
        </w:rPr>
      </w:pPr>
    </w:p>
    <w:p w14:paraId="0CC29B42" w14:textId="77777777" w:rsidR="00B033D3" w:rsidRDefault="00B033D3" w:rsidP="0065360C">
      <w:pPr>
        <w:ind w:left="142" w:right="1435"/>
        <w:jc w:val="both"/>
        <w:rPr>
          <w:sz w:val="24"/>
          <w:szCs w:val="24"/>
        </w:rPr>
      </w:pPr>
    </w:p>
    <w:p w14:paraId="569B1211" w14:textId="5567B27D" w:rsidR="00B033D3" w:rsidRDefault="0065360C" w:rsidP="0065360C">
      <w:pPr>
        <w:ind w:left="142" w:right="1435"/>
        <w:jc w:val="both"/>
        <w:rPr>
          <w:sz w:val="24"/>
          <w:szCs w:val="24"/>
        </w:rPr>
      </w:pPr>
      <w:r w:rsidRPr="00A549BD">
        <w:rPr>
          <w:sz w:val="24"/>
          <w:szCs w:val="24"/>
        </w:rPr>
        <w:t>Care plans reviewed in the last 12 month of those with Dementia at GP practice level have improved in the latest year in Knowsley. There are twelve practices that performing above the England average in the latest year 2024/25. Practice performance in Knowsley varies from 51% to 96% of care plans reviewed.</w:t>
      </w:r>
    </w:p>
    <w:p w14:paraId="3A61924D" w14:textId="77777777" w:rsidR="0065360C" w:rsidRPr="00A549BD" w:rsidRDefault="0065360C" w:rsidP="00B033D3">
      <w:pPr>
        <w:ind w:right="1435"/>
        <w:jc w:val="both"/>
        <w:rPr>
          <w:sz w:val="24"/>
          <w:szCs w:val="24"/>
        </w:rPr>
      </w:pPr>
    </w:p>
    <w:p w14:paraId="36F4E466" w14:textId="45D96EF8" w:rsidR="00476021" w:rsidRDefault="00476021" w:rsidP="00882E4D">
      <w:pPr>
        <w:ind w:left="142" w:right="1435"/>
        <w:jc w:val="both"/>
        <w:rPr>
          <w:sz w:val="24"/>
          <w:szCs w:val="24"/>
        </w:rPr>
      </w:pPr>
      <w:r w:rsidRPr="00A549BD">
        <w:rPr>
          <w:sz w:val="24"/>
          <w:szCs w:val="24"/>
        </w:rPr>
        <w:t xml:space="preserve">The PCN </w:t>
      </w:r>
      <w:r w:rsidR="00E86D43" w:rsidRPr="00A549BD">
        <w:rPr>
          <w:sz w:val="24"/>
          <w:szCs w:val="24"/>
        </w:rPr>
        <w:t xml:space="preserve">that </w:t>
      </w:r>
      <w:r w:rsidR="00486B7B" w:rsidRPr="00A549BD">
        <w:rPr>
          <w:sz w:val="24"/>
          <w:szCs w:val="24"/>
        </w:rPr>
        <w:t xml:space="preserve">has </w:t>
      </w:r>
      <w:r w:rsidRPr="00A549BD">
        <w:rPr>
          <w:sz w:val="24"/>
          <w:szCs w:val="24"/>
        </w:rPr>
        <w:t>the lowest</w:t>
      </w:r>
      <w:r w:rsidR="00E86D43" w:rsidRPr="00A549BD">
        <w:rPr>
          <w:sz w:val="24"/>
          <w:szCs w:val="24"/>
        </w:rPr>
        <w:t xml:space="preserve"> </w:t>
      </w:r>
      <w:r w:rsidR="008170B2" w:rsidRPr="00A549BD">
        <w:rPr>
          <w:sz w:val="24"/>
          <w:szCs w:val="24"/>
        </w:rPr>
        <w:t xml:space="preserve">proportion of Dementia patients receiving </w:t>
      </w:r>
      <w:r w:rsidR="0053529C" w:rsidRPr="00A549BD">
        <w:rPr>
          <w:sz w:val="24"/>
          <w:szCs w:val="24"/>
        </w:rPr>
        <w:t>a care plan review in the last 12 months</w:t>
      </w:r>
      <w:r w:rsidR="00F32B40" w:rsidRPr="00A549BD">
        <w:rPr>
          <w:sz w:val="24"/>
          <w:szCs w:val="24"/>
        </w:rPr>
        <w:t xml:space="preserve"> in 2024/25</w:t>
      </w:r>
      <w:r w:rsidR="0053529C" w:rsidRPr="00A549BD">
        <w:rPr>
          <w:sz w:val="24"/>
          <w:szCs w:val="24"/>
        </w:rPr>
        <w:t xml:space="preserve"> is Kirkby PCN</w:t>
      </w:r>
      <w:r w:rsidR="007A7A2B" w:rsidRPr="00A549BD">
        <w:rPr>
          <w:sz w:val="24"/>
          <w:szCs w:val="24"/>
        </w:rPr>
        <w:t xml:space="preserve"> (</w:t>
      </w:r>
      <w:r w:rsidR="00FA7A9C" w:rsidRPr="00A549BD">
        <w:rPr>
          <w:sz w:val="24"/>
          <w:szCs w:val="24"/>
        </w:rPr>
        <w:t>72</w:t>
      </w:r>
      <w:r w:rsidR="007A7A2B" w:rsidRPr="00A549BD">
        <w:rPr>
          <w:sz w:val="24"/>
          <w:szCs w:val="24"/>
        </w:rPr>
        <w:t>.</w:t>
      </w:r>
      <w:r w:rsidR="00FA7A9C" w:rsidRPr="00A549BD">
        <w:rPr>
          <w:sz w:val="24"/>
          <w:szCs w:val="24"/>
        </w:rPr>
        <w:t>0</w:t>
      </w:r>
      <w:r w:rsidR="007A7A2B" w:rsidRPr="00A549BD">
        <w:rPr>
          <w:sz w:val="24"/>
          <w:szCs w:val="24"/>
        </w:rPr>
        <w:t xml:space="preserve">%) which is lower than </w:t>
      </w:r>
      <w:r w:rsidR="007A7A2B" w:rsidRPr="00A549BD">
        <w:rPr>
          <w:sz w:val="24"/>
          <w:szCs w:val="24"/>
        </w:rPr>
        <w:lastRenderedPageBreak/>
        <w:t>West Kno</w:t>
      </w:r>
      <w:r w:rsidR="00B653A2" w:rsidRPr="00A549BD">
        <w:rPr>
          <w:sz w:val="24"/>
          <w:szCs w:val="24"/>
        </w:rPr>
        <w:t>wsley PCN (7</w:t>
      </w:r>
      <w:r w:rsidR="00A323F0" w:rsidRPr="00A549BD">
        <w:rPr>
          <w:sz w:val="24"/>
          <w:szCs w:val="24"/>
        </w:rPr>
        <w:t>2</w:t>
      </w:r>
      <w:r w:rsidR="00B653A2" w:rsidRPr="00A549BD">
        <w:rPr>
          <w:sz w:val="24"/>
          <w:szCs w:val="24"/>
        </w:rPr>
        <w:t>.</w:t>
      </w:r>
      <w:r w:rsidR="00A323F0" w:rsidRPr="00A549BD">
        <w:rPr>
          <w:sz w:val="24"/>
          <w:szCs w:val="24"/>
        </w:rPr>
        <w:t>9</w:t>
      </w:r>
      <w:r w:rsidR="00B653A2" w:rsidRPr="00A549BD">
        <w:rPr>
          <w:sz w:val="24"/>
          <w:szCs w:val="24"/>
        </w:rPr>
        <w:t>%) and Knowsley Central and South PCN (77.</w:t>
      </w:r>
      <w:r w:rsidR="007C328C" w:rsidRPr="00A549BD">
        <w:rPr>
          <w:sz w:val="24"/>
          <w:szCs w:val="24"/>
        </w:rPr>
        <w:t>3</w:t>
      </w:r>
      <w:r w:rsidR="00B653A2" w:rsidRPr="00A549BD">
        <w:rPr>
          <w:sz w:val="24"/>
          <w:szCs w:val="24"/>
        </w:rPr>
        <w:t>%).</w:t>
      </w:r>
      <w:r w:rsidR="00B653A2">
        <w:rPr>
          <w:sz w:val="24"/>
          <w:szCs w:val="24"/>
        </w:rPr>
        <w:t xml:space="preserve"> </w:t>
      </w:r>
      <w:r>
        <w:rPr>
          <w:sz w:val="24"/>
          <w:szCs w:val="24"/>
        </w:rPr>
        <w:t xml:space="preserve"> </w:t>
      </w:r>
    </w:p>
    <w:p w14:paraId="2C003D9A" w14:textId="3E7E0EBA" w:rsidR="00A87D5B" w:rsidRDefault="00B07702" w:rsidP="00C36C18">
      <w:pPr>
        <w:pStyle w:val="BodyText"/>
      </w:pPr>
      <w:r>
        <w:rPr>
          <w:noProof/>
        </w:rPr>
        <w:drawing>
          <wp:inline distT="0" distB="0" distL="0" distR="0" wp14:anchorId="0507BBC8" wp14:editId="066B1548">
            <wp:extent cx="5592363" cy="3103273"/>
            <wp:effectExtent l="0" t="0" r="8890" b="1905"/>
            <wp:docPr id="867710723" name="Chart 1">
              <a:extLst xmlns:a="http://schemas.openxmlformats.org/drawingml/2006/main">
                <a:ext uri="{FF2B5EF4-FFF2-40B4-BE49-F238E27FC236}">
                  <a16:creationId xmlns:a16="http://schemas.microsoft.com/office/drawing/2014/main" id="{C21BBFDF-2D03-43A8-ACBA-EB3C87AF0B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816070F" w14:textId="65EF30DC" w:rsidR="00F71F95" w:rsidRPr="003C490F" w:rsidRDefault="00F71F95" w:rsidP="00A323F0">
      <w:pPr>
        <w:spacing w:before="1"/>
        <w:ind w:left="140" w:firstLine="580"/>
        <w:jc w:val="both"/>
        <w:rPr>
          <w:sz w:val="24"/>
          <w:szCs w:val="24"/>
        </w:rPr>
      </w:pPr>
      <w:r>
        <w:rPr>
          <w:i/>
          <w:sz w:val="18"/>
        </w:rPr>
        <w:t xml:space="preserve">Figure </w:t>
      </w:r>
      <w:r w:rsidR="007D55BB">
        <w:rPr>
          <w:i/>
          <w:sz w:val="18"/>
        </w:rPr>
        <w:t>6</w:t>
      </w:r>
      <w:r w:rsidR="00433975">
        <w:rPr>
          <w:i/>
          <w:sz w:val="18"/>
        </w:rPr>
        <w:t>: Dementia patients undergoing a care review</w:t>
      </w:r>
      <w:r w:rsidR="00636083">
        <w:rPr>
          <w:i/>
          <w:sz w:val="18"/>
        </w:rPr>
        <w:t xml:space="preserve"> by GP Practice</w:t>
      </w:r>
      <w:r w:rsidR="00433975">
        <w:rPr>
          <w:i/>
          <w:sz w:val="18"/>
        </w:rPr>
        <w:t xml:space="preserve"> (QOF 202</w:t>
      </w:r>
      <w:r w:rsidR="00B07702">
        <w:rPr>
          <w:i/>
          <w:sz w:val="18"/>
        </w:rPr>
        <w:t>4</w:t>
      </w:r>
      <w:r w:rsidR="00433975">
        <w:rPr>
          <w:i/>
          <w:sz w:val="18"/>
        </w:rPr>
        <w:t>/2</w:t>
      </w:r>
      <w:r w:rsidR="00B07702">
        <w:rPr>
          <w:i/>
          <w:sz w:val="18"/>
        </w:rPr>
        <w:t>5</w:t>
      </w:r>
      <w:r w:rsidR="00433975">
        <w:rPr>
          <w:i/>
          <w:sz w:val="18"/>
        </w:rPr>
        <w:t>)</w:t>
      </w:r>
      <w:r w:rsidR="007C0C78" w:rsidRPr="007C0C78">
        <w:rPr>
          <w:noProof/>
        </w:rPr>
        <w:t xml:space="preserve"> </w:t>
      </w:r>
    </w:p>
    <w:p w14:paraId="11E8713D" w14:textId="77777777" w:rsidR="00945806" w:rsidRDefault="00945806" w:rsidP="00945806">
      <w:pPr>
        <w:pStyle w:val="BodyText"/>
        <w:rPr>
          <w:sz w:val="26"/>
        </w:rPr>
      </w:pPr>
    </w:p>
    <w:p w14:paraId="1D4CE550" w14:textId="5ECB159D" w:rsidR="00A25DC7" w:rsidRPr="00D008B9" w:rsidRDefault="00BC3F4F" w:rsidP="00A25DC7">
      <w:pPr>
        <w:pStyle w:val="Heading2"/>
        <w:spacing w:before="91"/>
        <w:ind w:left="0" w:firstLine="140"/>
      </w:pPr>
      <w:bookmarkStart w:id="26" w:name="_Toc236218965"/>
      <w:r>
        <w:t>7</w:t>
      </w:r>
      <w:r w:rsidR="00A25DC7" w:rsidRPr="00D008B9">
        <w:t>.</w:t>
      </w:r>
      <w:r w:rsidR="00B51D27">
        <w:t>14</w:t>
      </w:r>
      <w:r w:rsidR="00A25DC7" w:rsidRPr="00D008B9">
        <w:tab/>
        <w:t>Emergency hospital admissions for Dementia</w:t>
      </w:r>
      <w:bookmarkEnd w:id="26"/>
    </w:p>
    <w:p w14:paraId="2A05F1B9" w14:textId="77777777" w:rsidR="00A25DC7" w:rsidRPr="0075246A" w:rsidRDefault="00A25DC7" w:rsidP="0075246A">
      <w:pPr>
        <w:pStyle w:val="BodyText"/>
      </w:pPr>
    </w:p>
    <w:p w14:paraId="411720DF" w14:textId="0B14F208" w:rsidR="00A25DC7" w:rsidRPr="0075246A" w:rsidRDefault="00A25DC7" w:rsidP="009A50DB">
      <w:pPr>
        <w:pStyle w:val="BodyText"/>
        <w:ind w:left="142" w:right="1435"/>
        <w:jc w:val="both"/>
      </w:pPr>
      <w:bookmarkStart w:id="27" w:name="_Toc180155585"/>
      <w:r w:rsidRPr="0075246A">
        <w:rPr>
          <w:rStyle w:val="BodyTextChar"/>
        </w:rPr>
        <w:t>The rate of emergency hospital admissions of Knowsley</w:t>
      </w:r>
      <w:r w:rsidR="00D81A30" w:rsidRPr="0075246A">
        <w:rPr>
          <w:rStyle w:val="BodyTextChar"/>
        </w:rPr>
        <w:t xml:space="preserve"> </w:t>
      </w:r>
      <w:r w:rsidR="00AF3574" w:rsidRPr="0075246A">
        <w:rPr>
          <w:rStyle w:val="BodyTextChar"/>
        </w:rPr>
        <w:t>CCG</w:t>
      </w:r>
      <w:r w:rsidRPr="0075246A">
        <w:rPr>
          <w:rStyle w:val="BodyTextChar"/>
        </w:rPr>
        <w:t xml:space="preserve"> aged 65+ is current</w:t>
      </w:r>
      <w:r w:rsidR="00C054EB" w:rsidRPr="0075246A">
        <w:rPr>
          <w:rStyle w:val="BodyTextChar"/>
        </w:rPr>
        <w:t>ly</w:t>
      </w:r>
      <w:r w:rsidR="00AF3574" w:rsidRPr="0075246A">
        <w:rPr>
          <w:rStyle w:val="BodyTextChar"/>
        </w:rPr>
        <w:t xml:space="preserve"> </w:t>
      </w:r>
      <w:r w:rsidR="00AB6BED" w:rsidRPr="0075246A">
        <w:rPr>
          <w:rStyle w:val="BodyTextChar"/>
        </w:rPr>
        <w:t>4998</w:t>
      </w:r>
      <w:r w:rsidRPr="0075246A">
        <w:rPr>
          <w:rStyle w:val="BodyTextChar"/>
        </w:rPr>
        <w:t xml:space="preserve"> per 100,000 </w:t>
      </w:r>
      <w:r w:rsidR="0021486D" w:rsidRPr="0075246A">
        <w:rPr>
          <w:rStyle w:val="BodyTextChar"/>
        </w:rPr>
        <w:t>Directly age Standardised Rate (</w:t>
      </w:r>
      <w:r w:rsidRPr="0075246A">
        <w:rPr>
          <w:rStyle w:val="BodyTextChar"/>
        </w:rPr>
        <w:t>DSR</w:t>
      </w:r>
      <w:r w:rsidR="0021486D" w:rsidRPr="0075246A">
        <w:rPr>
          <w:rStyle w:val="BodyTextChar"/>
        </w:rPr>
        <w:t>)</w:t>
      </w:r>
      <w:r w:rsidRPr="0075246A">
        <w:rPr>
          <w:rStyle w:val="BodyTextChar"/>
        </w:rPr>
        <w:t>.  This rate is significantly above England (3</w:t>
      </w:r>
      <w:r w:rsidR="00AB6BED" w:rsidRPr="0075246A">
        <w:rPr>
          <w:rStyle w:val="BodyTextChar"/>
        </w:rPr>
        <w:t>517</w:t>
      </w:r>
      <w:r w:rsidRPr="0075246A">
        <w:rPr>
          <w:rStyle w:val="BodyTextChar"/>
        </w:rPr>
        <w:t xml:space="preserve"> per 100,000 DSR) and </w:t>
      </w:r>
      <w:r w:rsidR="00AB6BED" w:rsidRPr="0075246A">
        <w:rPr>
          <w:rStyle w:val="BodyTextChar"/>
        </w:rPr>
        <w:t>Cheshire and Merseyside</w:t>
      </w:r>
      <w:r w:rsidR="0021486D" w:rsidRPr="0075246A">
        <w:rPr>
          <w:rStyle w:val="BodyTextChar"/>
        </w:rPr>
        <w:t xml:space="preserve"> (</w:t>
      </w:r>
      <w:r w:rsidR="00AB6BED" w:rsidRPr="0075246A">
        <w:rPr>
          <w:rStyle w:val="BodyTextChar"/>
        </w:rPr>
        <w:t>3814</w:t>
      </w:r>
      <w:r w:rsidR="0021486D" w:rsidRPr="0075246A">
        <w:rPr>
          <w:rStyle w:val="BodyTextChar"/>
        </w:rPr>
        <w:t xml:space="preserve"> per 100,000 DSR)</w:t>
      </w:r>
      <w:r w:rsidR="00C054EB" w:rsidRPr="0075246A">
        <w:rPr>
          <w:rStyle w:val="BodyTextChar"/>
        </w:rPr>
        <w:t xml:space="preserve">.  </w:t>
      </w:r>
      <w:r w:rsidR="001375F2" w:rsidRPr="0075246A">
        <w:rPr>
          <w:rStyle w:val="BodyTextChar"/>
        </w:rPr>
        <w:t>Knowsley rates however a</w:t>
      </w:r>
      <w:r w:rsidR="00AF3574" w:rsidRPr="0075246A">
        <w:rPr>
          <w:rStyle w:val="BodyTextChar"/>
        </w:rPr>
        <w:t>re lower in 20</w:t>
      </w:r>
      <w:r w:rsidR="007B0591" w:rsidRPr="0075246A">
        <w:rPr>
          <w:rStyle w:val="BodyTextChar"/>
        </w:rPr>
        <w:t>19</w:t>
      </w:r>
      <w:r w:rsidR="00AF3574" w:rsidRPr="0075246A">
        <w:rPr>
          <w:rStyle w:val="BodyTextChar"/>
        </w:rPr>
        <w:t>/</w:t>
      </w:r>
      <w:r w:rsidR="007B0591" w:rsidRPr="0075246A">
        <w:rPr>
          <w:rStyle w:val="BodyTextChar"/>
        </w:rPr>
        <w:t>20</w:t>
      </w:r>
      <w:r w:rsidR="00AF3574" w:rsidRPr="0075246A">
        <w:rPr>
          <w:rStyle w:val="BodyTextChar"/>
        </w:rPr>
        <w:t xml:space="preserve"> </w:t>
      </w:r>
      <w:r w:rsidR="00935D84" w:rsidRPr="0075246A">
        <w:rPr>
          <w:rStyle w:val="BodyTextChar"/>
        </w:rPr>
        <w:t>th</w:t>
      </w:r>
      <w:r w:rsidR="00AF3574" w:rsidRPr="0075246A">
        <w:rPr>
          <w:rStyle w:val="BodyTextChar"/>
        </w:rPr>
        <w:t>an in 201</w:t>
      </w:r>
      <w:r w:rsidR="00935D84" w:rsidRPr="0075246A">
        <w:rPr>
          <w:rStyle w:val="BodyTextChar"/>
        </w:rPr>
        <w:t>6</w:t>
      </w:r>
      <w:r w:rsidR="00AF3574" w:rsidRPr="0075246A">
        <w:rPr>
          <w:rStyle w:val="BodyTextChar"/>
        </w:rPr>
        <w:t>/1</w:t>
      </w:r>
      <w:r w:rsidR="00935D84" w:rsidRPr="0075246A">
        <w:rPr>
          <w:rStyle w:val="BodyTextChar"/>
        </w:rPr>
        <w:t>7</w:t>
      </w:r>
      <w:r w:rsidR="001375F2" w:rsidRPr="0075246A">
        <w:rPr>
          <w:rStyle w:val="BodyTextChar"/>
        </w:rPr>
        <w:t xml:space="preserve"> and</w:t>
      </w:r>
      <w:r w:rsidR="00AF3574" w:rsidRPr="0075246A">
        <w:rPr>
          <w:rStyle w:val="BodyTextChar"/>
        </w:rPr>
        <w:t xml:space="preserve"> have fell by </w:t>
      </w:r>
      <w:r w:rsidR="00D777D6" w:rsidRPr="0075246A">
        <w:rPr>
          <w:rStyle w:val="BodyTextChar"/>
        </w:rPr>
        <w:t>-12</w:t>
      </w:r>
      <w:r w:rsidR="001375F2" w:rsidRPr="0075246A">
        <w:rPr>
          <w:rStyle w:val="BodyTextChar"/>
        </w:rPr>
        <w:t>%, Engl</w:t>
      </w:r>
      <w:r w:rsidR="00AF3574" w:rsidRPr="0075246A">
        <w:rPr>
          <w:rStyle w:val="BodyTextChar"/>
        </w:rPr>
        <w:t>and rates have increased by 5</w:t>
      </w:r>
      <w:r w:rsidR="001375F2" w:rsidRPr="0075246A">
        <w:rPr>
          <w:rStyle w:val="BodyTextChar"/>
        </w:rPr>
        <w:t xml:space="preserve">%, with </w:t>
      </w:r>
      <w:r w:rsidR="00D72D04" w:rsidRPr="0075246A">
        <w:rPr>
          <w:rStyle w:val="BodyTextChar"/>
        </w:rPr>
        <w:t xml:space="preserve">Cheshire and Merseyside ICB </w:t>
      </w:r>
      <w:r w:rsidR="005D0E8D" w:rsidRPr="0075246A">
        <w:rPr>
          <w:rStyle w:val="BodyTextChar"/>
        </w:rPr>
        <w:t xml:space="preserve">decreasing </w:t>
      </w:r>
      <w:r w:rsidR="00AF3574" w:rsidRPr="0075246A">
        <w:rPr>
          <w:rStyle w:val="BodyTextChar"/>
        </w:rPr>
        <w:t xml:space="preserve">by </w:t>
      </w:r>
      <w:r w:rsidR="005D0E8D" w:rsidRPr="0075246A">
        <w:rPr>
          <w:rStyle w:val="BodyTextChar"/>
        </w:rPr>
        <w:t>-4</w:t>
      </w:r>
      <w:r w:rsidR="001375F2" w:rsidRPr="0075246A">
        <w:rPr>
          <w:rStyle w:val="BodyTextChar"/>
        </w:rPr>
        <w:t>%</w:t>
      </w:r>
      <w:r w:rsidR="00FD2989">
        <w:rPr>
          <w:rStyle w:val="BodyTextChar"/>
        </w:rPr>
        <w:t>,</w:t>
      </w:r>
      <w:r w:rsidR="002E454B">
        <w:rPr>
          <w:rStyle w:val="BodyTextChar"/>
        </w:rPr>
        <w:t xml:space="preserve"> so the gap between Knowsley and comparators has reduced</w:t>
      </w:r>
      <w:r w:rsidR="0000741E" w:rsidRPr="0075246A">
        <w:rPr>
          <w:rStyle w:val="BodyTextChar"/>
        </w:rPr>
        <w:t>.</w:t>
      </w:r>
      <w:bookmarkEnd w:id="27"/>
      <w:r w:rsidR="001375F2" w:rsidRPr="0075246A">
        <w:t xml:space="preserve"> </w:t>
      </w:r>
    </w:p>
    <w:p w14:paraId="2F54DC9C" w14:textId="77777777" w:rsidR="00A25DC7" w:rsidRDefault="00A25DC7" w:rsidP="003C547F">
      <w:pPr>
        <w:pStyle w:val="BodyText"/>
      </w:pPr>
    </w:p>
    <w:p w14:paraId="65A01F17" w14:textId="36B9C191" w:rsidR="00A25DC7" w:rsidRDefault="00A25DC7" w:rsidP="00851091">
      <w:pPr>
        <w:pStyle w:val="BodyText"/>
      </w:pPr>
      <w:r>
        <w:rPr>
          <w:color w:val="808080"/>
        </w:rPr>
        <w:t xml:space="preserve"> </w:t>
      </w:r>
      <w:r w:rsidR="00650598">
        <w:rPr>
          <w:noProof/>
        </w:rPr>
        <w:drawing>
          <wp:inline distT="0" distB="0" distL="0" distR="0" wp14:anchorId="0F43998B" wp14:editId="629BEE83">
            <wp:extent cx="5102225" cy="2844800"/>
            <wp:effectExtent l="0" t="0" r="3175" b="0"/>
            <wp:docPr id="42748040" name="Chart 1">
              <a:extLst xmlns:a="http://schemas.openxmlformats.org/drawingml/2006/main">
                <a:ext uri="{FF2B5EF4-FFF2-40B4-BE49-F238E27FC236}">
                  <a16:creationId xmlns:a16="http://schemas.microsoft.com/office/drawing/2014/main" id="{8401F94C-899F-993A-C62B-61B48BBFC5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785B616" w14:textId="12A80791" w:rsidR="00B51D27" w:rsidRDefault="004E1CD0" w:rsidP="0000741E">
      <w:pPr>
        <w:spacing w:before="1"/>
        <w:ind w:left="142" w:right="1418"/>
        <w:jc w:val="both"/>
        <w:rPr>
          <w:i/>
          <w:sz w:val="18"/>
        </w:rPr>
      </w:pPr>
      <w:r>
        <w:rPr>
          <w:i/>
          <w:sz w:val="18"/>
        </w:rPr>
        <w:t xml:space="preserve">Figure </w:t>
      </w:r>
      <w:r w:rsidR="007D55BB">
        <w:rPr>
          <w:i/>
          <w:sz w:val="18"/>
        </w:rPr>
        <w:t>7</w:t>
      </w:r>
      <w:r w:rsidR="001375F2">
        <w:rPr>
          <w:i/>
          <w:sz w:val="18"/>
        </w:rPr>
        <w:t>: Dement</w:t>
      </w:r>
      <w:r w:rsidR="00AF3574">
        <w:rPr>
          <w:i/>
          <w:sz w:val="18"/>
        </w:rPr>
        <w:t>ia Emergency hospital admissions</w:t>
      </w:r>
      <w:r w:rsidR="001375F2">
        <w:rPr>
          <w:i/>
          <w:sz w:val="18"/>
        </w:rPr>
        <w:t xml:space="preserve"> aged 65+ </w:t>
      </w:r>
      <w:r w:rsidR="00AF3574">
        <w:rPr>
          <w:i/>
          <w:sz w:val="18"/>
        </w:rPr>
        <w:t xml:space="preserve">- CCG responsibility </w:t>
      </w:r>
      <w:r w:rsidR="001375F2">
        <w:rPr>
          <w:i/>
          <w:sz w:val="18"/>
        </w:rPr>
        <w:t>(</w:t>
      </w:r>
      <w:r w:rsidR="007A2233">
        <w:rPr>
          <w:i/>
          <w:sz w:val="18"/>
        </w:rPr>
        <w:t>OHID fingertips</w:t>
      </w:r>
      <w:r w:rsidR="00AF3574">
        <w:rPr>
          <w:i/>
          <w:sz w:val="18"/>
        </w:rPr>
        <w:t>, Dementia Profile, 201</w:t>
      </w:r>
      <w:r w:rsidR="00341DCE">
        <w:rPr>
          <w:i/>
          <w:sz w:val="18"/>
        </w:rPr>
        <w:t>6</w:t>
      </w:r>
      <w:r w:rsidR="00AF3574">
        <w:rPr>
          <w:i/>
          <w:sz w:val="18"/>
        </w:rPr>
        <w:t>/1</w:t>
      </w:r>
      <w:r w:rsidR="00341DCE">
        <w:rPr>
          <w:i/>
          <w:sz w:val="18"/>
        </w:rPr>
        <w:t>7</w:t>
      </w:r>
      <w:r w:rsidR="001375F2">
        <w:rPr>
          <w:i/>
          <w:sz w:val="18"/>
        </w:rPr>
        <w:t xml:space="preserve"> to 201</w:t>
      </w:r>
      <w:r w:rsidR="00341DCE">
        <w:rPr>
          <w:i/>
          <w:sz w:val="18"/>
        </w:rPr>
        <w:t>9</w:t>
      </w:r>
      <w:r w:rsidR="001375F2">
        <w:rPr>
          <w:i/>
          <w:sz w:val="18"/>
        </w:rPr>
        <w:t>/</w:t>
      </w:r>
      <w:r w:rsidR="00341DCE">
        <w:rPr>
          <w:i/>
          <w:sz w:val="18"/>
        </w:rPr>
        <w:t>20</w:t>
      </w:r>
      <w:r w:rsidR="001375F2">
        <w:rPr>
          <w:i/>
          <w:sz w:val="18"/>
        </w:rPr>
        <w:t>)</w:t>
      </w:r>
    </w:p>
    <w:p w14:paraId="4AD5AE11" w14:textId="1F36E1EB" w:rsidR="00945806" w:rsidRPr="0000741E" w:rsidRDefault="00945806" w:rsidP="0000741E">
      <w:pPr>
        <w:spacing w:before="1"/>
        <w:ind w:left="142" w:right="1418"/>
        <w:jc w:val="both"/>
        <w:rPr>
          <w:i/>
          <w:sz w:val="18"/>
        </w:rPr>
      </w:pPr>
      <w:r>
        <w:rPr>
          <w:sz w:val="26"/>
        </w:rPr>
        <w:tab/>
      </w:r>
    </w:p>
    <w:p w14:paraId="02838D8F" w14:textId="6845B5C1" w:rsidR="00945806" w:rsidRPr="00D008B9" w:rsidRDefault="00BC3F4F" w:rsidP="004327BF">
      <w:pPr>
        <w:pStyle w:val="Heading2"/>
        <w:spacing w:before="91"/>
      </w:pPr>
      <w:bookmarkStart w:id="28" w:name="_Toc236218966"/>
      <w:r>
        <w:t>7</w:t>
      </w:r>
      <w:r w:rsidR="00A25DC7" w:rsidRPr="00D008B9">
        <w:t>.</w:t>
      </w:r>
      <w:r w:rsidR="00B51D27">
        <w:t>15</w:t>
      </w:r>
      <w:r w:rsidR="0057051B" w:rsidRPr="00D008B9">
        <w:tab/>
      </w:r>
      <w:r w:rsidR="00945806" w:rsidRPr="00D008B9">
        <w:t>Prescribing</w:t>
      </w:r>
      <w:bookmarkEnd w:id="28"/>
    </w:p>
    <w:p w14:paraId="0BDA5017" w14:textId="77777777" w:rsidR="00945806" w:rsidRDefault="00945806" w:rsidP="00945806">
      <w:pPr>
        <w:pStyle w:val="BodyText"/>
        <w:spacing w:before="2"/>
        <w:rPr>
          <w:b/>
          <w:sz w:val="21"/>
        </w:rPr>
      </w:pPr>
    </w:p>
    <w:p w14:paraId="12C86F6B" w14:textId="33AF373A" w:rsidR="004B3B4A" w:rsidRDefault="00945806" w:rsidP="002E454B">
      <w:pPr>
        <w:pStyle w:val="BodyText"/>
        <w:ind w:left="142" w:right="1435"/>
        <w:jc w:val="both"/>
      </w:pPr>
      <w:r w:rsidRPr="00994944">
        <w:t xml:space="preserve">The three acetylcholinesterase (AChE) inhibitors Donepezil, Galantamine and Rivastigmine are now recommended as options for managing mild to moderate </w:t>
      </w:r>
      <w:r w:rsidRPr="00994944">
        <w:lastRenderedPageBreak/>
        <w:t xml:space="preserve">Alzheimer’s disease. Memantine is recommended as an option for managing moderate Alzheimer’s disease. Dementia HNA 7 people who cannot take AChE inhibitors, and as an option for managing severe Alzheimer’s disease; combination treatment with Memantine and an acetylcholinesterase inhibitor is not recommended. </w:t>
      </w:r>
      <w:r w:rsidR="004B3B4A">
        <w:t>Memantine</w:t>
      </w:r>
      <w:r w:rsidR="004B3B4A" w:rsidRPr="00C966A4">
        <w:t xml:space="preserve"> can help with </w:t>
      </w:r>
      <w:r w:rsidR="00173AC9">
        <w:t>Mental abilities</w:t>
      </w:r>
      <w:r w:rsidR="004B3B4A" w:rsidRPr="00C966A4">
        <w:t>, such as confusion or feeling lost, and carrying out </w:t>
      </w:r>
      <w:hyperlink r:id="rId28" w:history="1">
        <w:r w:rsidR="004B3B4A" w:rsidRPr="00C966A4">
          <w:t>daily activities</w:t>
        </w:r>
      </w:hyperlink>
      <w:r w:rsidR="004B3B4A" w:rsidRPr="00C966A4">
        <w:t>.</w:t>
      </w:r>
    </w:p>
    <w:p w14:paraId="2D6E8B4D" w14:textId="77777777" w:rsidR="002E454B" w:rsidRPr="00C966A4" w:rsidRDefault="002E454B" w:rsidP="002E454B">
      <w:pPr>
        <w:pStyle w:val="BodyText"/>
        <w:ind w:left="142" w:right="1435"/>
        <w:jc w:val="both"/>
      </w:pPr>
    </w:p>
    <w:p w14:paraId="513F2B1E" w14:textId="2E6710B2" w:rsidR="00945806" w:rsidRDefault="00945806" w:rsidP="002E454B">
      <w:pPr>
        <w:pStyle w:val="BodyText"/>
        <w:ind w:left="142" w:right="1435"/>
        <w:jc w:val="both"/>
      </w:pPr>
      <w:r w:rsidRPr="00994944">
        <w:t>Only specialists in the care of patients with dementia (that is, psychiatrists including those specialising in learning disability, neurologists, and physicians specialising in the care of older people) should initiate treatment. Carers' views on the patient's condition at baseline should be sought.</w:t>
      </w:r>
    </w:p>
    <w:p w14:paraId="7F660789" w14:textId="426515B3" w:rsidR="00945806" w:rsidRPr="00994944" w:rsidRDefault="00945806" w:rsidP="002E454B">
      <w:pPr>
        <w:pStyle w:val="BodyText"/>
        <w:ind w:left="142" w:right="1435"/>
        <w:jc w:val="both"/>
      </w:pPr>
    </w:p>
    <w:p w14:paraId="083C0809" w14:textId="7FB96D00" w:rsidR="00945806" w:rsidRDefault="00945806" w:rsidP="002E454B">
      <w:pPr>
        <w:pStyle w:val="BodyText"/>
        <w:ind w:left="142" w:right="1435"/>
        <w:jc w:val="both"/>
      </w:pPr>
      <w:r w:rsidRPr="00994944">
        <w:t>Numbers of prescriptions in Knowsley</w:t>
      </w:r>
      <w:r w:rsidR="004327BF">
        <w:t xml:space="preserve"> CCG</w:t>
      </w:r>
      <w:r w:rsidRPr="00994944">
        <w:t xml:space="preserve"> for Dementia and </w:t>
      </w:r>
      <w:r w:rsidR="00C55F49" w:rsidRPr="00994944">
        <w:t>Alzheimer’s</w:t>
      </w:r>
      <w:r w:rsidRPr="00994944">
        <w:t xml:space="preserve"> have increased </w:t>
      </w:r>
      <w:r w:rsidR="0050182B">
        <w:t>significantly in the latest year 202</w:t>
      </w:r>
      <w:r w:rsidR="003538EA">
        <w:t>4</w:t>
      </w:r>
      <w:r w:rsidR="0050182B">
        <w:t>/2</w:t>
      </w:r>
      <w:r w:rsidR="003538EA">
        <w:t>5</w:t>
      </w:r>
      <w:r w:rsidR="004A2CF2">
        <w:t>, with over 1,000 extra presc</w:t>
      </w:r>
      <w:r w:rsidR="005E19B7">
        <w:t xml:space="preserve">riptions being prescribed.  The growth has mainly come from </w:t>
      </w:r>
      <w:r w:rsidR="009C2B9B">
        <w:t>Memantine hydrochloride</w:t>
      </w:r>
      <w:r w:rsidR="00944BC7">
        <w:t xml:space="preserve">. There was a large </w:t>
      </w:r>
      <w:r w:rsidR="008D1E2B">
        <w:t xml:space="preserve">decrease from 2020/21 to 2021/22, this is </w:t>
      </w:r>
      <w:r w:rsidR="005962FE">
        <w:t xml:space="preserve">likely to </w:t>
      </w:r>
      <w:r w:rsidR="00660A5B">
        <w:t>be because</w:t>
      </w:r>
      <w:r w:rsidR="00AD241E">
        <w:t xml:space="preserve"> of the Covid-19 pandemic</w:t>
      </w:r>
      <w:r w:rsidR="005962FE">
        <w:t xml:space="preserve"> with </w:t>
      </w:r>
      <w:r w:rsidR="002811A3">
        <w:t>deaths that occurred due to the virus</w:t>
      </w:r>
      <w:r w:rsidR="006E33D6">
        <w:t xml:space="preserve"> with also less diagnosed cases also occurring. </w:t>
      </w:r>
      <w:r w:rsidRPr="00994944">
        <w:t>Despite th</w:t>
      </w:r>
      <w:r w:rsidR="008B26C0">
        <w:t>e</w:t>
      </w:r>
      <w:r w:rsidRPr="00994944">
        <w:t xml:space="preserve"> increases</w:t>
      </w:r>
      <w:r w:rsidR="008B26C0">
        <w:t xml:space="preserve"> in the latest years data</w:t>
      </w:r>
      <w:r w:rsidRPr="00994944">
        <w:t>, overall prescription costs in Knowsley</w:t>
      </w:r>
      <w:r w:rsidR="004327BF">
        <w:t xml:space="preserve"> CCG</w:t>
      </w:r>
      <w:r w:rsidRPr="00994944">
        <w:t xml:space="preserve"> have </w:t>
      </w:r>
      <w:r w:rsidR="00A937C8">
        <w:t xml:space="preserve">only increased </w:t>
      </w:r>
      <w:r w:rsidRPr="00994944">
        <w:t xml:space="preserve">by </w:t>
      </w:r>
      <w:r w:rsidR="000D704F">
        <w:t>10.</w:t>
      </w:r>
      <w:r w:rsidR="00A937C8">
        <w:t>5</w:t>
      </w:r>
      <w:r w:rsidRPr="00994944">
        <w:t>%</w:t>
      </w:r>
      <w:r w:rsidR="000D704F">
        <w:t xml:space="preserve"> since 2020/21</w:t>
      </w:r>
      <w:r w:rsidRPr="00994944">
        <w:t xml:space="preserve"> from £</w:t>
      </w:r>
      <w:r w:rsidR="000D704F">
        <w:t>54</w:t>
      </w:r>
      <w:r w:rsidRPr="00994944">
        <w:t>,</w:t>
      </w:r>
      <w:r w:rsidR="004244C1">
        <w:t>503</w:t>
      </w:r>
      <w:r w:rsidRPr="00994944">
        <w:t xml:space="preserve"> in 20</w:t>
      </w:r>
      <w:r w:rsidR="004244C1">
        <w:t>20</w:t>
      </w:r>
      <w:r w:rsidRPr="00994944">
        <w:t>/</w:t>
      </w:r>
      <w:r w:rsidR="004244C1">
        <w:t>21</w:t>
      </w:r>
      <w:r w:rsidRPr="00994944">
        <w:t xml:space="preserve"> to £</w:t>
      </w:r>
      <w:r w:rsidR="00F675D1">
        <w:t>60</w:t>
      </w:r>
      <w:r w:rsidRPr="00994944">
        <w:t>,</w:t>
      </w:r>
      <w:r w:rsidR="00F675D1">
        <w:t>247</w:t>
      </w:r>
      <w:r w:rsidRPr="00994944">
        <w:t xml:space="preserve"> in 20</w:t>
      </w:r>
      <w:r w:rsidR="004244C1">
        <w:t>2</w:t>
      </w:r>
      <w:r w:rsidR="00F675D1">
        <w:t>4</w:t>
      </w:r>
      <w:r w:rsidRPr="00994944">
        <w:t>/</w:t>
      </w:r>
      <w:r w:rsidR="004244C1">
        <w:t>2</w:t>
      </w:r>
      <w:r w:rsidR="00F675D1">
        <w:t>5</w:t>
      </w:r>
      <w:r w:rsidR="00AD241E">
        <w:t xml:space="preserve">, despite there being </w:t>
      </w:r>
      <w:r w:rsidR="00734A93">
        <w:t>1632</w:t>
      </w:r>
      <w:r w:rsidR="00AD241E">
        <w:t xml:space="preserve"> more items prescribed in 202</w:t>
      </w:r>
      <w:r w:rsidR="00734A93">
        <w:t>4</w:t>
      </w:r>
      <w:r w:rsidR="00AD241E">
        <w:t>/2</w:t>
      </w:r>
      <w:r w:rsidR="00734A93">
        <w:t>5</w:t>
      </w:r>
      <w:r w:rsidR="00AD241E">
        <w:t xml:space="preserve"> than 2020/21</w:t>
      </w:r>
      <w:r w:rsidRPr="00994944">
        <w:t>.</w:t>
      </w:r>
      <w:r w:rsidR="00E02D16">
        <w:t xml:space="preserve"> </w:t>
      </w:r>
    </w:p>
    <w:p w14:paraId="020CFF17" w14:textId="77777777" w:rsidR="00945806" w:rsidRDefault="00945806" w:rsidP="009A50DB">
      <w:pPr>
        <w:pStyle w:val="BodyText"/>
        <w:ind w:left="140" w:right="1435"/>
        <w:jc w:val="both"/>
      </w:pPr>
    </w:p>
    <w:p w14:paraId="4BEC326E" w14:textId="77777777" w:rsidR="000E35F7" w:rsidRDefault="000E35F7" w:rsidP="00945806">
      <w:pPr>
        <w:pStyle w:val="BodyText"/>
        <w:spacing w:line="276" w:lineRule="auto"/>
        <w:ind w:left="140" w:right="1435"/>
        <w:jc w:val="both"/>
      </w:pPr>
    </w:p>
    <w:tbl>
      <w:tblPr>
        <w:tblW w:w="10206" w:type="dxa"/>
        <w:tblLook w:val="04A0" w:firstRow="1" w:lastRow="0" w:firstColumn="1" w:lastColumn="0" w:noHBand="0" w:noVBand="1"/>
      </w:tblPr>
      <w:tblGrid>
        <w:gridCol w:w="3624"/>
        <w:gridCol w:w="963"/>
        <w:gridCol w:w="963"/>
        <w:gridCol w:w="963"/>
        <w:gridCol w:w="963"/>
        <w:gridCol w:w="963"/>
        <w:gridCol w:w="943"/>
        <w:gridCol w:w="90"/>
        <w:gridCol w:w="803"/>
      </w:tblGrid>
      <w:tr w:rsidR="00067BEB" w:rsidRPr="00067BEB" w14:paraId="7CCD5886" w14:textId="77777777" w:rsidTr="006D6AD2">
        <w:trPr>
          <w:trHeight w:val="290"/>
        </w:trPr>
        <w:tc>
          <w:tcPr>
            <w:tcW w:w="8439" w:type="dxa"/>
            <w:gridSpan w:val="6"/>
            <w:tcBorders>
              <w:top w:val="nil"/>
              <w:left w:val="nil"/>
              <w:bottom w:val="nil"/>
              <w:right w:val="nil"/>
            </w:tcBorders>
            <w:shd w:val="clear" w:color="000000" w:fill="FFFFFF"/>
            <w:noWrap/>
            <w:vAlign w:val="bottom"/>
            <w:hideMark/>
          </w:tcPr>
          <w:p w14:paraId="52B8F4C7" w14:textId="1BF72DC3" w:rsidR="00067BEB" w:rsidRPr="00067BEB" w:rsidRDefault="00067BEB" w:rsidP="00067BEB">
            <w:pPr>
              <w:widowControl/>
              <w:autoSpaceDE/>
              <w:autoSpaceDN/>
              <w:rPr>
                <w:rFonts w:ascii="Calibri" w:eastAsia="Times New Roman" w:hAnsi="Calibri" w:cs="Calibri"/>
                <w:b/>
                <w:bCs/>
                <w:color w:val="000000"/>
                <w:lang w:bidi="ar-SA"/>
              </w:rPr>
            </w:pPr>
            <w:r w:rsidRPr="00067BEB">
              <w:rPr>
                <w:rFonts w:ascii="Calibri" w:eastAsia="Times New Roman" w:hAnsi="Calibri" w:cs="Calibri"/>
                <w:b/>
                <w:bCs/>
                <w:color w:val="000000"/>
                <w:lang w:bidi="ar-SA"/>
              </w:rPr>
              <w:t xml:space="preserve">Numbers of prescription items and costs for Dementia and </w:t>
            </w:r>
            <w:r w:rsidR="00B13EA2" w:rsidRPr="00067BEB">
              <w:rPr>
                <w:rFonts w:ascii="Calibri" w:eastAsia="Times New Roman" w:hAnsi="Calibri" w:cs="Calibri"/>
                <w:b/>
                <w:bCs/>
                <w:color w:val="000000"/>
                <w:lang w:bidi="ar-SA"/>
              </w:rPr>
              <w:t>Alzheimer’s</w:t>
            </w:r>
            <w:r w:rsidRPr="00067BEB">
              <w:rPr>
                <w:rFonts w:ascii="Calibri" w:eastAsia="Times New Roman" w:hAnsi="Calibri" w:cs="Calibri"/>
                <w:b/>
                <w:bCs/>
                <w:color w:val="000000"/>
                <w:lang w:bidi="ar-SA"/>
              </w:rPr>
              <w:t xml:space="preserve"> in Knowsley, by financial year</w:t>
            </w:r>
          </w:p>
        </w:tc>
        <w:tc>
          <w:tcPr>
            <w:tcW w:w="1026" w:type="dxa"/>
            <w:gridSpan w:val="2"/>
            <w:tcBorders>
              <w:top w:val="nil"/>
              <w:left w:val="nil"/>
              <w:bottom w:val="nil"/>
              <w:right w:val="nil"/>
            </w:tcBorders>
            <w:noWrap/>
            <w:vAlign w:val="bottom"/>
            <w:hideMark/>
          </w:tcPr>
          <w:p w14:paraId="1C9357B4" w14:textId="77777777" w:rsidR="00067BEB" w:rsidRPr="00067BEB" w:rsidRDefault="00067BEB" w:rsidP="00067BEB">
            <w:pPr>
              <w:widowControl/>
              <w:autoSpaceDE/>
              <w:autoSpaceDN/>
              <w:rPr>
                <w:rFonts w:ascii="Calibri" w:eastAsia="Times New Roman" w:hAnsi="Calibri" w:cs="Calibri"/>
                <w:b/>
                <w:bCs/>
                <w:color w:val="000000"/>
                <w:lang w:bidi="ar-SA"/>
              </w:rPr>
            </w:pPr>
          </w:p>
        </w:tc>
        <w:tc>
          <w:tcPr>
            <w:tcW w:w="741" w:type="dxa"/>
            <w:tcBorders>
              <w:top w:val="nil"/>
              <w:left w:val="nil"/>
              <w:bottom w:val="nil"/>
              <w:right w:val="nil"/>
            </w:tcBorders>
            <w:noWrap/>
            <w:vAlign w:val="bottom"/>
            <w:hideMark/>
          </w:tcPr>
          <w:p w14:paraId="5B984CF6" w14:textId="77777777" w:rsidR="00067BEB" w:rsidRPr="00067BEB" w:rsidRDefault="00067BEB" w:rsidP="00067BEB">
            <w:pPr>
              <w:widowControl/>
              <w:autoSpaceDE/>
              <w:autoSpaceDN/>
              <w:rPr>
                <w:rFonts w:ascii="Times New Roman" w:eastAsia="Times New Roman" w:hAnsi="Times New Roman" w:cs="Times New Roman"/>
                <w:sz w:val="20"/>
                <w:szCs w:val="20"/>
                <w:lang w:bidi="ar-SA"/>
              </w:rPr>
            </w:pPr>
          </w:p>
        </w:tc>
      </w:tr>
      <w:tr w:rsidR="00067BEB" w:rsidRPr="00067BEB" w14:paraId="07E89064" w14:textId="77777777" w:rsidTr="006D6AD2">
        <w:trPr>
          <w:trHeight w:val="290"/>
        </w:trPr>
        <w:tc>
          <w:tcPr>
            <w:tcW w:w="3624" w:type="dxa"/>
            <w:tcBorders>
              <w:top w:val="nil"/>
              <w:left w:val="nil"/>
              <w:bottom w:val="nil"/>
              <w:right w:val="nil"/>
            </w:tcBorders>
            <w:shd w:val="clear" w:color="000000" w:fill="FFFFFF"/>
            <w:noWrap/>
            <w:vAlign w:val="bottom"/>
            <w:hideMark/>
          </w:tcPr>
          <w:p w14:paraId="6CCA00BE" w14:textId="77777777" w:rsidR="00067BEB" w:rsidRPr="00067BEB" w:rsidRDefault="00067BEB" w:rsidP="00067BEB">
            <w:pPr>
              <w:widowControl/>
              <w:autoSpaceDE/>
              <w:autoSpaceDN/>
              <w:rPr>
                <w:rFonts w:ascii="Calibri" w:eastAsia="Times New Roman" w:hAnsi="Calibri" w:cs="Calibri"/>
                <w:b/>
                <w:bCs/>
                <w:color w:val="000000"/>
                <w:lang w:bidi="ar-SA"/>
              </w:rPr>
            </w:pPr>
            <w:r w:rsidRPr="00067BEB">
              <w:rPr>
                <w:rFonts w:ascii="Calibri" w:eastAsia="Times New Roman" w:hAnsi="Calibri" w:cs="Calibri"/>
                <w:b/>
                <w:bCs/>
                <w:color w:val="000000"/>
                <w:lang w:bidi="ar-SA"/>
              </w:rPr>
              <w:t> </w:t>
            </w:r>
          </w:p>
        </w:tc>
        <w:tc>
          <w:tcPr>
            <w:tcW w:w="963" w:type="dxa"/>
            <w:tcBorders>
              <w:top w:val="nil"/>
              <w:left w:val="nil"/>
              <w:bottom w:val="nil"/>
              <w:right w:val="nil"/>
            </w:tcBorders>
            <w:shd w:val="clear" w:color="000000" w:fill="FFFFFF"/>
            <w:noWrap/>
            <w:vAlign w:val="bottom"/>
            <w:hideMark/>
          </w:tcPr>
          <w:p w14:paraId="1C8B60CD" w14:textId="77777777" w:rsidR="00067BEB" w:rsidRPr="00067BEB" w:rsidRDefault="00067BEB" w:rsidP="00067BEB">
            <w:pPr>
              <w:widowControl/>
              <w:autoSpaceDE/>
              <w:autoSpaceDN/>
              <w:rPr>
                <w:rFonts w:ascii="Calibri" w:eastAsia="Times New Roman" w:hAnsi="Calibri" w:cs="Calibri"/>
                <w:color w:val="000000"/>
                <w:lang w:bidi="ar-SA"/>
              </w:rPr>
            </w:pPr>
            <w:r w:rsidRPr="00067BEB">
              <w:rPr>
                <w:rFonts w:ascii="Calibri" w:eastAsia="Times New Roman" w:hAnsi="Calibri" w:cs="Calibri"/>
                <w:color w:val="000000"/>
                <w:lang w:bidi="ar-SA"/>
              </w:rPr>
              <w:t> </w:t>
            </w:r>
          </w:p>
        </w:tc>
        <w:tc>
          <w:tcPr>
            <w:tcW w:w="963" w:type="dxa"/>
            <w:tcBorders>
              <w:top w:val="nil"/>
              <w:left w:val="nil"/>
              <w:bottom w:val="nil"/>
              <w:right w:val="nil"/>
            </w:tcBorders>
            <w:shd w:val="clear" w:color="000000" w:fill="FFFFFF"/>
            <w:noWrap/>
            <w:vAlign w:val="bottom"/>
            <w:hideMark/>
          </w:tcPr>
          <w:p w14:paraId="2A0D61FB" w14:textId="77777777" w:rsidR="00067BEB" w:rsidRPr="00067BEB" w:rsidRDefault="00067BEB" w:rsidP="00067BEB">
            <w:pPr>
              <w:widowControl/>
              <w:autoSpaceDE/>
              <w:autoSpaceDN/>
              <w:rPr>
                <w:rFonts w:ascii="Calibri" w:eastAsia="Times New Roman" w:hAnsi="Calibri" w:cs="Calibri"/>
                <w:color w:val="000000"/>
                <w:lang w:bidi="ar-SA"/>
              </w:rPr>
            </w:pPr>
            <w:r w:rsidRPr="00067BEB">
              <w:rPr>
                <w:rFonts w:ascii="Calibri" w:eastAsia="Times New Roman" w:hAnsi="Calibri" w:cs="Calibri"/>
                <w:color w:val="000000"/>
                <w:lang w:bidi="ar-SA"/>
              </w:rPr>
              <w:t> </w:t>
            </w:r>
          </w:p>
        </w:tc>
        <w:tc>
          <w:tcPr>
            <w:tcW w:w="963" w:type="dxa"/>
            <w:tcBorders>
              <w:top w:val="nil"/>
              <w:left w:val="nil"/>
              <w:bottom w:val="nil"/>
              <w:right w:val="nil"/>
            </w:tcBorders>
            <w:shd w:val="clear" w:color="000000" w:fill="FFFFFF"/>
            <w:noWrap/>
            <w:vAlign w:val="bottom"/>
            <w:hideMark/>
          </w:tcPr>
          <w:p w14:paraId="5E7494ED" w14:textId="77777777" w:rsidR="00067BEB" w:rsidRPr="00067BEB" w:rsidRDefault="00067BEB" w:rsidP="00067BEB">
            <w:pPr>
              <w:widowControl/>
              <w:autoSpaceDE/>
              <w:autoSpaceDN/>
              <w:rPr>
                <w:rFonts w:ascii="Calibri" w:eastAsia="Times New Roman" w:hAnsi="Calibri" w:cs="Calibri"/>
                <w:color w:val="000000"/>
                <w:lang w:bidi="ar-SA"/>
              </w:rPr>
            </w:pPr>
            <w:r w:rsidRPr="00067BEB">
              <w:rPr>
                <w:rFonts w:ascii="Calibri" w:eastAsia="Times New Roman" w:hAnsi="Calibri" w:cs="Calibri"/>
                <w:color w:val="000000"/>
                <w:lang w:bidi="ar-SA"/>
              </w:rPr>
              <w:t> </w:t>
            </w:r>
          </w:p>
        </w:tc>
        <w:tc>
          <w:tcPr>
            <w:tcW w:w="963" w:type="dxa"/>
            <w:tcBorders>
              <w:top w:val="nil"/>
              <w:left w:val="nil"/>
              <w:bottom w:val="nil"/>
              <w:right w:val="nil"/>
            </w:tcBorders>
            <w:shd w:val="clear" w:color="000000" w:fill="FFFFFF"/>
            <w:noWrap/>
            <w:vAlign w:val="bottom"/>
            <w:hideMark/>
          </w:tcPr>
          <w:p w14:paraId="39823186" w14:textId="77777777" w:rsidR="00067BEB" w:rsidRPr="00067BEB" w:rsidRDefault="00067BEB" w:rsidP="00067BEB">
            <w:pPr>
              <w:widowControl/>
              <w:autoSpaceDE/>
              <w:autoSpaceDN/>
              <w:rPr>
                <w:rFonts w:ascii="Calibri" w:eastAsia="Times New Roman" w:hAnsi="Calibri" w:cs="Calibri"/>
                <w:color w:val="000000"/>
                <w:lang w:bidi="ar-SA"/>
              </w:rPr>
            </w:pPr>
            <w:r w:rsidRPr="00067BEB">
              <w:rPr>
                <w:rFonts w:ascii="Calibri" w:eastAsia="Times New Roman" w:hAnsi="Calibri" w:cs="Calibri"/>
                <w:color w:val="000000"/>
                <w:lang w:bidi="ar-SA"/>
              </w:rPr>
              <w:t> </w:t>
            </w:r>
          </w:p>
        </w:tc>
        <w:tc>
          <w:tcPr>
            <w:tcW w:w="963" w:type="dxa"/>
            <w:tcBorders>
              <w:top w:val="nil"/>
              <w:left w:val="nil"/>
              <w:bottom w:val="nil"/>
              <w:right w:val="nil"/>
            </w:tcBorders>
            <w:shd w:val="clear" w:color="000000" w:fill="FFFFFF"/>
            <w:noWrap/>
            <w:vAlign w:val="bottom"/>
            <w:hideMark/>
          </w:tcPr>
          <w:p w14:paraId="52B2AAF5" w14:textId="77777777" w:rsidR="00067BEB" w:rsidRPr="00067BEB" w:rsidRDefault="00067BEB" w:rsidP="00067BEB">
            <w:pPr>
              <w:widowControl/>
              <w:autoSpaceDE/>
              <w:autoSpaceDN/>
              <w:rPr>
                <w:rFonts w:ascii="Calibri" w:eastAsia="Times New Roman" w:hAnsi="Calibri" w:cs="Calibri"/>
                <w:color w:val="000000"/>
                <w:lang w:bidi="ar-SA"/>
              </w:rPr>
            </w:pPr>
            <w:r w:rsidRPr="00067BEB">
              <w:rPr>
                <w:rFonts w:ascii="Calibri" w:eastAsia="Times New Roman" w:hAnsi="Calibri" w:cs="Calibri"/>
                <w:color w:val="000000"/>
                <w:lang w:bidi="ar-SA"/>
              </w:rPr>
              <w:t> </w:t>
            </w:r>
          </w:p>
        </w:tc>
        <w:tc>
          <w:tcPr>
            <w:tcW w:w="1026" w:type="dxa"/>
            <w:gridSpan w:val="2"/>
            <w:tcBorders>
              <w:top w:val="nil"/>
              <w:left w:val="nil"/>
              <w:bottom w:val="nil"/>
              <w:right w:val="nil"/>
            </w:tcBorders>
            <w:noWrap/>
            <w:vAlign w:val="bottom"/>
            <w:hideMark/>
          </w:tcPr>
          <w:p w14:paraId="2B556B92" w14:textId="77777777" w:rsidR="00067BEB" w:rsidRPr="00067BEB" w:rsidRDefault="00067BEB" w:rsidP="00067BEB">
            <w:pPr>
              <w:widowControl/>
              <w:autoSpaceDE/>
              <w:autoSpaceDN/>
              <w:rPr>
                <w:rFonts w:ascii="Calibri" w:eastAsia="Times New Roman" w:hAnsi="Calibri" w:cs="Calibri"/>
                <w:color w:val="000000"/>
                <w:lang w:bidi="ar-SA"/>
              </w:rPr>
            </w:pPr>
          </w:p>
        </w:tc>
        <w:tc>
          <w:tcPr>
            <w:tcW w:w="741" w:type="dxa"/>
            <w:tcBorders>
              <w:top w:val="nil"/>
              <w:left w:val="nil"/>
              <w:bottom w:val="nil"/>
              <w:right w:val="nil"/>
            </w:tcBorders>
            <w:noWrap/>
            <w:vAlign w:val="bottom"/>
            <w:hideMark/>
          </w:tcPr>
          <w:p w14:paraId="070C8F78" w14:textId="77777777" w:rsidR="00067BEB" w:rsidRPr="00067BEB" w:rsidRDefault="00067BEB" w:rsidP="00067BEB">
            <w:pPr>
              <w:widowControl/>
              <w:autoSpaceDE/>
              <w:autoSpaceDN/>
              <w:rPr>
                <w:rFonts w:ascii="Times New Roman" w:eastAsia="Times New Roman" w:hAnsi="Times New Roman" w:cs="Times New Roman"/>
                <w:sz w:val="20"/>
                <w:szCs w:val="20"/>
                <w:lang w:bidi="ar-SA"/>
              </w:rPr>
            </w:pPr>
          </w:p>
        </w:tc>
      </w:tr>
      <w:tr w:rsidR="00067BEB" w:rsidRPr="00067BEB" w14:paraId="09220C1C" w14:textId="77777777" w:rsidTr="006D6AD2">
        <w:trPr>
          <w:trHeight w:val="290"/>
        </w:trPr>
        <w:tc>
          <w:tcPr>
            <w:tcW w:w="3624" w:type="dxa"/>
            <w:tcBorders>
              <w:top w:val="nil"/>
              <w:left w:val="nil"/>
              <w:bottom w:val="nil"/>
              <w:right w:val="nil"/>
            </w:tcBorders>
            <w:shd w:val="clear" w:color="000000" w:fill="FFFFFF"/>
            <w:noWrap/>
            <w:vAlign w:val="bottom"/>
            <w:hideMark/>
          </w:tcPr>
          <w:p w14:paraId="7FF7FCBA" w14:textId="77777777" w:rsidR="00067BEB" w:rsidRPr="00067BEB" w:rsidRDefault="00067BEB" w:rsidP="00067BEB">
            <w:pPr>
              <w:widowControl/>
              <w:autoSpaceDE/>
              <w:autoSpaceDN/>
              <w:rPr>
                <w:rFonts w:ascii="Calibri" w:eastAsia="Times New Roman" w:hAnsi="Calibri" w:cs="Calibri"/>
                <w:b/>
                <w:bCs/>
                <w:color w:val="000000"/>
                <w:lang w:bidi="ar-SA"/>
              </w:rPr>
            </w:pPr>
            <w:r w:rsidRPr="00067BEB">
              <w:rPr>
                <w:rFonts w:ascii="Calibri" w:eastAsia="Times New Roman" w:hAnsi="Calibri" w:cs="Calibri"/>
                <w:b/>
                <w:bCs/>
                <w:color w:val="000000"/>
                <w:lang w:bidi="ar-SA"/>
              </w:rPr>
              <w:t> </w:t>
            </w:r>
          </w:p>
        </w:tc>
        <w:tc>
          <w:tcPr>
            <w:tcW w:w="963" w:type="dxa"/>
            <w:tcBorders>
              <w:top w:val="nil"/>
              <w:left w:val="nil"/>
              <w:bottom w:val="nil"/>
              <w:right w:val="nil"/>
            </w:tcBorders>
            <w:shd w:val="clear" w:color="000000" w:fill="FFFFFF"/>
            <w:noWrap/>
            <w:vAlign w:val="bottom"/>
            <w:hideMark/>
          </w:tcPr>
          <w:p w14:paraId="67A778CF" w14:textId="77777777" w:rsidR="00067BEB" w:rsidRPr="00067BEB" w:rsidRDefault="00067BEB" w:rsidP="00067BEB">
            <w:pPr>
              <w:widowControl/>
              <w:autoSpaceDE/>
              <w:autoSpaceDN/>
              <w:rPr>
                <w:rFonts w:ascii="Calibri" w:eastAsia="Times New Roman" w:hAnsi="Calibri" w:cs="Calibri"/>
                <w:b/>
                <w:bCs/>
                <w:color w:val="000000"/>
                <w:lang w:bidi="ar-SA"/>
              </w:rPr>
            </w:pPr>
            <w:r w:rsidRPr="00067BEB">
              <w:rPr>
                <w:rFonts w:ascii="Calibri" w:eastAsia="Times New Roman" w:hAnsi="Calibri" w:cs="Calibri"/>
                <w:b/>
                <w:bCs/>
                <w:color w:val="000000"/>
                <w:lang w:bidi="ar-SA"/>
              </w:rPr>
              <w:t> </w:t>
            </w:r>
          </w:p>
        </w:tc>
        <w:tc>
          <w:tcPr>
            <w:tcW w:w="963" w:type="dxa"/>
            <w:tcBorders>
              <w:top w:val="nil"/>
              <w:left w:val="nil"/>
              <w:bottom w:val="nil"/>
              <w:right w:val="nil"/>
            </w:tcBorders>
            <w:shd w:val="clear" w:color="000000" w:fill="FFFFFF"/>
            <w:noWrap/>
            <w:vAlign w:val="bottom"/>
            <w:hideMark/>
          </w:tcPr>
          <w:p w14:paraId="1ED2862D" w14:textId="77777777" w:rsidR="00067BEB" w:rsidRPr="00067BEB" w:rsidRDefault="00067BEB" w:rsidP="00067BEB">
            <w:pPr>
              <w:widowControl/>
              <w:autoSpaceDE/>
              <w:autoSpaceDN/>
              <w:rPr>
                <w:rFonts w:ascii="Calibri" w:eastAsia="Times New Roman" w:hAnsi="Calibri" w:cs="Calibri"/>
                <w:b/>
                <w:bCs/>
                <w:color w:val="000000"/>
                <w:lang w:bidi="ar-SA"/>
              </w:rPr>
            </w:pPr>
            <w:r w:rsidRPr="00067BEB">
              <w:rPr>
                <w:rFonts w:ascii="Calibri" w:eastAsia="Times New Roman" w:hAnsi="Calibri" w:cs="Calibri"/>
                <w:b/>
                <w:bCs/>
                <w:color w:val="000000"/>
                <w:lang w:bidi="ar-SA"/>
              </w:rPr>
              <w:t> </w:t>
            </w:r>
          </w:p>
        </w:tc>
        <w:tc>
          <w:tcPr>
            <w:tcW w:w="963" w:type="dxa"/>
            <w:tcBorders>
              <w:top w:val="nil"/>
              <w:left w:val="nil"/>
              <w:bottom w:val="nil"/>
              <w:right w:val="nil"/>
            </w:tcBorders>
            <w:shd w:val="clear" w:color="000000" w:fill="FFFFFF"/>
            <w:noWrap/>
            <w:vAlign w:val="bottom"/>
            <w:hideMark/>
          </w:tcPr>
          <w:p w14:paraId="0D72322F" w14:textId="77777777" w:rsidR="00067BEB" w:rsidRPr="00067BEB" w:rsidRDefault="00067BEB" w:rsidP="00067BEB">
            <w:pPr>
              <w:widowControl/>
              <w:autoSpaceDE/>
              <w:autoSpaceDN/>
              <w:rPr>
                <w:rFonts w:ascii="Calibri" w:eastAsia="Times New Roman" w:hAnsi="Calibri" w:cs="Calibri"/>
                <w:b/>
                <w:bCs/>
                <w:color w:val="000000"/>
                <w:lang w:bidi="ar-SA"/>
              </w:rPr>
            </w:pPr>
            <w:r w:rsidRPr="00067BEB">
              <w:rPr>
                <w:rFonts w:ascii="Calibri" w:eastAsia="Times New Roman" w:hAnsi="Calibri" w:cs="Calibri"/>
                <w:b/>
                <w:bCs/>
                <w:color w:val="000000"/>
                <w:lang w:bidi="ar-SA"/>
              </w:rPr>
              <w:t> </w:t>
            </w:r>
          </w:p>
        </w:tc>
        <w:tc>
          <w:tcPr>
            <w:tcW w:w="963" w:type="dxa"/>
            <w:tcBorders>
              <w:top w:val="nil"/>
              <w:left w:val="nil"/>
              <w:bottom w:val="nil"/>
              <w:right w:val="nil"/>
            </w:tcBorders>
            <w:shd w:val="clear" w:color="000000" w:fill="FFFFFF"/>
            <w:noWrap/>
            <w:vAlign w:val="bottom"/>
            <w:hideMark/>
          </w:tcPr>
          <w:p w14:paraId="70FBF3A3" w14:textId="77777777" w:rsidR="00067BEB" w:rsidRPr="00067BEB" w:rsidRDefault="00067BEB" w:rsidP="00067BEB">
            <w:pPr>
              <w:widowControl/>
              <w:autoSpaceDE/>
              <w:autoSpaceDN/>
              <w:rPr>
                <w:rFonts w:ascii="Calibri" w:eastAsia="Times New Roman" w:hAnsi="Calibri" w:cs="Calibri"/>
                <w:b/>
                <w:bCs/>
                <w:color w:val="000000"/>
                <w:lang w:bidi="ar-SA"/>
              </w:rPr>
            </w:pPr>
            <w:r w:rsidRPr="00067BEB">
              <w:rPr>
                <w:rFonts w:ascii="Calibri" w:eastAsia="Times New Roman" w:hAnsi="Calibri" w:cs="Calibri"/>
                <w:b/>
                <w:bCs/>
                <w:color w:val="000000"/>
                <w:lang w:bidi="ar-SA"/>
              </w:rPr>
              <w:t> </w:t>
            </w:r>
          </w:p>
        </w:tc>
        <w:tc>
          <w:tcPr>
            <w:tcW w:w="963" w:type="dxa"/>
            <w:tcBorders>
              <w:top w:val="nil"/>
              <w:left w:val="nil"/>
              <w:bottom w:val="nil"/>
              <w:right w:val="nil"/>
            </w:tcBorders>
            <w:shd w:val="clear" w:color="000000" w:fill="FFFFFF"/>
            <w:noWrap/>
            <w:vAlign w:val="bottom"/>
            <w:hideMark/>
          </w:tcPr>
          <w:p w14:paraId="0CBEA7C2" w14:textId="77777777" w:rsidR="00067BEB" w:rsidRPr="00067BEB" w:rsidRDefault="00067BEB" w:rsidP="00067BEB">
            <w:pPr>
              <w:widowControl/>
              <w:autoSpaceDE/>
              <w:autoSpaceDN/>
              <w:rPr>
                <w:rFonts w:ascii="Calibri" w:eastAsia="Times New Roman" w:hAnsi="Calibri" w:cs="Calibri"/>
                <w:b/>
                <w:bCs/>
                <w:color w:val="000000"/>
                <w:lang w:bidi="ar-SA"/>
              </w:rPr>
            </w:pPr>
            <w:r w:rsidRPr="00067BEB">
              <w:rPr>
                <w:rFonts w:ascii="Calibri" w:eastAsia="Times New Roman" w:hAnsi="Calibri" w:cs="Calibri"/>
                <w:b/>
                <w:bCs/>
                <w:color w:val="000000"/>
                <w:lang w:bidi="ar-SA"/>
              </w:rPr>
              <w:t> </w:t>
            </w:r>
          </w:p>
        </w:tc>
        <w:tc>
          <w:tcPr>
            <w:tcW w:w="1767"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936748D" w14:textId="77777777" w:rsidR="00067BEB" w:rsidRPr="00067BEB" w:rsidRDefault="00067BEB" w:rsidP="00067BEB">
            <w:pPr>
              <w:widowControl/>
              <w:autoSpaceDE/>
              <w:autoSpaceDN/>
              <w:jc w:val="center"/>
              <w:rPr>
                <w:rFonts w:ascii="Calibri" w:eastAsia="Times New Roman" w:hAnsi="Calibri" w:cs="Calibri"/>
                <w:b/>
                <w:bCs/>
                <w:color w:val="000000"/>
                <w:lang w:bidi="ar-SA"/>
              </w:rPr>
            </w:pPr>
            <w:r w:rsidRPr="00067BEB">
              <w:rPr>
                <w:rFonts w:ascii="Calibri" w:eastAsia="Times New Roman" w:hAnsi="Calibri" w:cs="Calibri"/>
                <w:b/>
                <w:bCs/>
                <w:color w:val="000000"/>
                <w:lang w:bidi="ar-SA"/>
              </w:rPr>
              <w:t>2020/21 to 2024/25</w:t>
            </w:r>
          </w:p>
        </w:tc>
      </w:tr>
      <w:tr w:rsidR="00067BEB" w:rsidRPr="00067BEB" w14:paraId="2969275C" w14:textId="77777777" w:rsidTr="006D6AD2">
        <w:trPr>
          <w:trHeight w:val="290"/>
        </w:trPr>
        <w:tc>
          <w:tcPr>
            <w:tcW w:w="362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373B33" w14:textId="77777777" w:rsidR="00067BEB" w:rsidRPr="00067BEB" w:rsidRDefault="00067BEB" w:rsidP="00067BEB">
            <w:pPr>
              <w:widowControl/>
              <w:autoSpaceDE/>
              <w:autoSpaceDN/>
              <w:rPr>
                <w:rFonts w:ascii="Calibri" w:eastAsia="Times New Roman" w:hAnsi="Calibri" w:cs="Calibri"/>
                <w:b/>
                <w:bCs/>
                <w:color w:val="000000"/>
                <w:lang w:bidi="ar-SA"/>
              </w:rPr>
            </w:pPr>
            <w:r w:rsidRPr="00067BEB">
              <w:rPr>
                <w:rFonts w:ascii="Calibri" w:eastAsia="Times New Roman" w:hAnsi="Calibri" w:cs="Calibri"/>
                <w:b/>
                <w:bCs/>
                <w:color w:val="000000"/>
                <w:lang w:bidi="ar-SA"/>
              </w:rPr>
              <w:t>Numbers of Items</w:t>
            </w:r>
          </w:p>
        </w:tc>
        <w:tc>
          <w:tcPr>
            <w:tcW w:w="963" w:type="dxa"/>
            <w:tcBorders>
              <w:top w:val="single" w:sz="4" w:space="0" w:color="auto"/>
              <w:left w:val="nil"/>
              <w:bottom w:val="single" w:sz="4" w:space="0" w:color="auto"/>
              <w:right w:val="single" w:sz="4" w:space="0" w:color="auto"/>
            </w:tcBorders>
            <w:noWrap/>
            <w:vAlign w:val="bottom"/>
            <w:hideMark/>
          </w:tcPr>
          <w:p w14:paraId="33E71A1A" w14:textId="77777777" w:rsidR="00067BEB" w:rsidRPr="00067BEB" w:rsidRDefault="00067BEB" w:rsidP="00067BEB">
            <w:pPr>
              <w:widowControl/>
              <w:autoSpaceDE/>
              <w:autoSpaceDN/>
              <w:rPr>
                <w:rFonts w:ascii="Aptos Narrow" w:eastAsia="Times New Roman" w:hAnsi="Aptos Narrow" w:cs="Times New Roman"/>
                <w:b/>
                <w:bCs/>
                <w:color w:val="000000"/>
                <w:lang w:bidi="ar-SA"/>
              </w:rPr>
            </w:pPr>
            <w:r w:rsidRPr="00067BEB">
              <w:rPr>
                <w:rFonts w:ascii="Aptos Narrow" w:eastAsia="Times New Roman" w:hAnsi="Aptos Narrow" w:cs="Times New Roman"/>
                <w:b/>
                <w:bCs/>
                <w:color w:val="000000"/>
                <w:lang w:bidi="ar-SA"/>
              </w:rPr>
              <w:t>2020/21</w:t>
            </w:r>
          </w:p>
        </w:tc>
        <w:tc>
          <w:tcPr>
            <w:tcW w:w="963" w:type="dxa"/>
            <w:tcBorders>
              <w:top w:val="single" w:sz="4" w:space="0" w:color="auto"/>
              <w:left w:val="nil"/>
              <w:bottom w:val="single" w:sz="4" w:space="0" w:color="auto"/>
              <w:right w:val="single" w:sz="4" w:space="0" w:color="auto"/>
            </w:tcBorders>
            <w:noWrap/>
            <w:vAlign w:val="bottom"/>
            <w:hideMark/>
          </w:tcPr>
          <w:p w14:paraId="43E1139D" w14:textId="77777777" w:rsidR="00067BEB" w:rsidRPr="00067BEB" w:rsidRDefault="00067BEB" w:rsidP="00067BEB">
            <w:pPr>
              <w:widowControl/>
              <w:autoSpaceDE/>
              <w:autoSpaceDN/>
              <w:rPr>
                <w:rFonts w:ascii="Aptos Narrow" w:eastAsia="Times New Roman" w:hAnsi="Aptos Narrow" w:cs="Times New Roman"/>
                <w:b/>
                <w:bCs/>
                <w:color w:val="000000"/>
                <w:lang w:bidi="ar-SA"/>
              </w:rPr>
            </w:pPr>
            <w:r w:rsidRPr="00067BEB">
              <w:rPr>
                <w:rFonts w:ascii="Aptos Narrow" w:eastAsia="Times New Roman" w:hAnsi="Aptos Narrow" w:cs="Times New Roman"/>
                <w:b/>
                <w:bCs/>
                <w:color w:val="000000"/>
                <w:lang w:bidi="ar-SA"/>
              </w:rPr>
              <w:t>2021/22</w:t>
            </w:r>
          </w:p>
        </w:tc>
        <w:tc>
          <w:tcPr>
            <w:tcW w:w="963" w:type="dxa"/>
            <w:tcBorders>
              <w:top w:val="single" w:sz="4" w:space="0" w:color="auto"/>
              <w:left w:val="nil"/>
              <w:bottom w:val="single" w:sz="4" w:space="0" w:color="auto"/>
              <w:right w:val="single" w:sz="4" w:space="0" w:color="auto"/>
            </w:tcBorders>
            <w:noWrap/>
            <w:vAlign w:val="bottom"/>
            <w:hideMark/>
          </w:tcPr>
          <w:p w14:paraId="2CBA4268" w14:textId="77777777" w:rsidR="00067BEB" w:rsidRPr="00067BEB" w:rsidRDefault="00067BEB" w:rsidP="00067BEB">
            <w:pPr>
              <w:widowControl/>
              <w:autoSpaceDE/>
              <w:autoSpaceDN/>
              <w:rPr>
                <w:rFonts w:ascii="Aptos Narrow" w:eastAsia="Times New Roman" w:hAnsi="Aptos Narrow" w:cs="Times New Roman"/>
                <w:b/>
                <w:bCs/>
                <w:color w:val="000000"/>
                <w:lang w:bidi="ar-SA"/>
              </w:rPr>
            </w:pPr>
            <w:r w:rsidRPr="00067BEB">
              <w:rPr>
                <w:rFonts w:ascii="Aptos Narrow" w:eastAsia="Times New Roman" w:hAnsi="Aptos Narrow" w:cs="Times New Roman"/>
                <w:b/>
                <w:bCs/>
                <w:color w:val="000000"/>
                <w:lang w:bidi="ar-SA"/>
              </w:rPr>
              <w:t>2022/23</w:t>
            </w:r>
          </w:p>
        </w:tc>
        <w:tc>
          <w:tcPr>
            <w:tcW w:w="963" w:type="dxa"/>
            <w:tcBorders>
              <w:top w:val="single" w:sz="4" w:space="0" w:color="auto"/>
              <w:left w:val="nil"/>
              <w:bottom w:val="single" w:sz="4" w:space="0" w:color="auto"/>
              <w:right w:val="single" w:sz="4" w:space="0" w:color="auto"/>
            </w:tcBorders>
            <w:noWrap/>
            <w:vAlign w:val="bottom"/>
            <w:hideMark/>
          </w:tcPr>
          <w:p w14:paraId="0092577E" w14:textId="77777777" w:rsidR="00067BEB" w:rsidRPr="00067BEB" w:rsidRDefault="00067BEB" w:rsidP="00067BEB">
            <w:pPr>
              <w:widowControl/>
              <w:autoSpaceDE/>
              <w:autoSpaceDN/>
              <w:rPr>
                <w:rFonts w:ascii="Aptos Narrow" w:eastAsia="Times New Roman" w:hAnsi="Aptos Narrow" w:cs="Times New Roman"/>
                <w:b/>
                <w:bCs/>
                <w:color w:val="000000"/>
                <w:lang w:bidi="ar-SA"/>
              </w:rPr>
            </w:pPr>
            <w:r w:rsidRPr="00067BEB">
              <w:rPr>
                <w:rFonts w:ascii="Aptos Narrow" w:eastAsia="Times New Roman" w:hAnsi="Aptos Narrow" w:cs="Times New Roman"/>
                <w:b/>
                <w:bCs/>
                <w:color w:val="000000"/>
                <w:lang w:bidi="ar-SA"/>
              </w:rPr>
              <w:t>2023/24</w:t>
            </w:r>
          </w:p>
        </w:tc>
        <w:tc>
          <w:tcPr>
            <w:tcW w:w="963" w:type="dxa"/>
            <w:tcBorders>
              <w:top w:val="single" w:sz="4" w:space="0" w:color="auto"/>
              <w:left w:val="nil"/>
              <w:bottom w:val="single" w:sz="4" w:space="0" w:color="auto"/>
              <w:right w:val="single" w:sz="4" w:space="0" w:color="auto"/>
            </w:tcBorders>
            <w:noWrap/>
            <w:vAlign w:val="bottom"/>
            <w:hideMark/>
          </w:tcPr>
          <w:p w14:paraId="093329BC" w14:textId="77777777" w:rsidR="00067BEB" w:rsidRPr="00067BEB" w:rsidRDefault="00067BEB" w:rsidP="00067BEB">
            <w:pPr>
              <w:widowControl/>
              <w:autoSpaceDE/>
              <w:autoSpaceDN/>
              <w:rPr>
                <w:rFonts w:ascii="Aptos Narrow" w:eastAsia="Times New Roman" w:hAnsi="Aptos Narrow" w:cs="Times New Roman"/>
                <w:b/>
                <w:bCs/>
                <w:color w:val="000000"/>
                <w:lang w:bidi="ar-SA"/>
              </w:rPr>
            </w:pPr>
            <w:r w:rsidRPr="00067BEB">
              <w:rPr>
                <w:rFonts w:ascii="Aptos Narrow" w:eastAsia="Times New Roman" w:hAnsi="Aptos Narrow" w:cs="Times New Roman"/>
                <w:b/>
                <w:bCs/>
                <w:color w:val="000000"/>
                <w:lang w:bidi="ar-SA"/>
              </w:rPr>
              <w:t>2024/25</w:t>
            </w:r>
          </w:p>
        </w:tc>
        <w:tc>
          <w:tcPr>
            <w:tcW w:w="943" w:type="dxa"/>
            <w:tcBorders>
              <w:top w:val="nil"/>
              <w:left w:val="nil"/>
              <w:bottom w:val="single" w:sz="4" w:space="0" w:color="auto"/>
              <w:right w:val="single" w:sz="4" w:space="0" w:color="auto"/>
            </w:tcBorders>
            <w:shd w:val="clear" w:color="000000" w:fill="FFFFFF"/>
            <w:noWrap/>
            <w:vAlign w:val="bottom"/>
            <w:hideMark/>
          </w:tcPr>
          <w:p w14:paraId="0AD4C42E" w14:textId="77777777" w:rsidR="00067BEB" w:rsidRPr="00067BEB" w:rsidRDefault="00067BEB" w:rsidP="00067BEB">
            <w:pPr>
              <w:widowControl/>
              <w:autoSpaceDE/>
              <w:autoSpaceDN/>
              <w:rPr>
                <w:rFonts w:ascii="Calibri" w:eastAsia="Times New Roman" w:hAnsi="Calibri" w:cs="Calibri"/>
                <w:b/>
                <w:bCs/>
                <w:color w:val="000000"/>
                <w:lang w:bidi="ar-SA"/>
              </w:rPr>
            </w:pPr>
            <w:r w:rsidRPr="00067BEB">
              <w:rPr>
                <w:rFonts w:ascii="Calibri" w:eastAsia="Times New Roman" w:hAnsi="Calibri" w:cs="Calibri"/>
                <w:b/>
                <w:bCs/>
                <w:color w:val="000000"/>
                <w:lang w:bidi="ar-SA"/>
              </w:rPr>
              <w:t>Change</w:t>
            </w:r>
          </w:p>
        </w:tc>
        <w:tc>
          <w:tcPr>
            <w:tcW w:w="824" w:type="dxa"/>
            <w:gridSpan w:val="2"/>
            <w:tcBorders>
              <w:top w:val="nil"/>
              <w:left w:val="nil"/>
              <w:bottom w:val="single" w:sz="4" w:space="0" w:color="auto"/>
              <w:right w:val="single" w:sz="4" w:space="0" w:color="auto"/>
            </w:tcBorders>
            <w:shd w:val="clear" w:color="000000" w:fill="FFFFFF"/>
            <w:noWrap/>
            <w:vAlign w:val="bottom"/>
            <w:hideMark/>
          </w:tcPr>
          <w:p w14:paraId="1F76BE24" w14:textId="77777777" w:rsidR="00067BEB" w:rsidRPr="00067BEB" w:rsidRDefault="00067BEB" w:rsidP="00067BEB">
            <w:pPr>
              <w:widowControl/>
              <w:autoSpaceDE/>
              <w:autoSpaceDN/>
              <w:rPr>
                <w:rFonts w:ascii="Calibri" w:eastAsia="Times New Roman" w:hAnsi="Calibri" w:cs="Calibri"/>
                <w:b/>
                <w:bCs/>
                <w:color w:val="000000"/>
                <w:lang w:bidi="ar-SA"/>
              </w:rPr>
            </w:pPr>
            <w:r w:rsidRPr="00067BEB">
              <w:rPr>
                <w:rFonts w:ascii="Calibri" w:eastAsia="Times New Roman" w:hAnsi="Calibri" w:cs="Calibri"/>
                <w:b/>
                <w:bCs/>
                <w:color w:val="000000"/>
                <w:lang w:bidi="ar-SA"/>
              </w:rPr>
              <w:t>% Change</w:t>
            </w:r>
          </w:p>
        </w:tc>
      </w:tr>
      <w:tr w:rsidR="00067BEB" w:rsidRPr="00067BEB" w14:paraId="1C1D4A07" w14:textId="77777777" w:rsidTr="006D6AD2">
        <w:trPr>
          <w:trHeight w:val="290"/>
        </w:trPr>
        <w:tc>
          <w:tcPr>
            <w:tcW w:w="3624" w:type="dxa"/>
            <w:tcBorders>
              <w:top w:val="nil"/>
              <w:left w:val="single" w:sz="4" w:space="0" w:color="auto"/>
              <w:bottom w:val="single" w:sz="4" w:space="0" w:color="auto"/>
              <w:right w:val="single" w:sz="4" w:space="0" w:color="auto"/>
            </w:tcBorders>
            <w:shd w:val="clear" w:color="000000" w:fill="FFFFFF"/>
            <w:noWrap/>
            <w:vAlign w:val="bottom"/>
            <w:hideMark/>
          </w:tcPr>
          <w:p w14:paraId="4217C010" w14:textId="77777777" w:rsidR="00067BEB" w:rsidRPr="00067BEB" w:rsidRDefault="00067BEB" w:rsidP="00067BEB">
            <w:pPr>
              <w:widowControl/>
              <w:autoSpaceDE/>
              <w:autoSpaceDN/>
              <w:rPr>
                <w:rFonts w:ascii="Calibri" w:eastAsia="Times New Roman" w:hAnsi="Calibri" w:cs="Calibri"/>
                <w:color w:val="000000"/>
                <w:lang w:bidi="ar-SA"/>
              </w:rPr>
            </w:pPr>
            <w:r w:rsidRPr="00067BEB">
              <w:rPr>
                <w:rFonts w:ascii="Calibri" w:eastAsia="Times New Roman" w:hAnsi="Calibri" w:cs="Calibri"/>
                <w:color w:val="000000"/>
                <w:lang w:bidi="ar-SA"/>
              </w:rPr>
              <w:t>Rivastigmine</w:t>
            </w:r>
          </w:p>
        </w:tc>
        <w:tc>
          <w:tcPr>
            <w:tcW w:w="963" w:type="dxa"/>
            <w:tcBorders>
              <w:top w:val="nil"/>
              <w:left w:val="nil"/>
              <w:bottom w:val="single" w:sz="4" w:space="0" w:color="auto"/>
              <w:right w:val="single" w:sz="4" w:space="0" w:color="auto"/>
            </w:tcBorders>
            <w:shd w:val="clear" w:color="000000" w:fill="FFFFFF"/>
            <w:noWrap/>
            <w:vAlign w:val="bottom"/>
            <w:hideMark/>
          </w:tcPr>
          <w:p w14:paraId="242FFA85"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560</w:t>
            </w:r>
          </w:p>
        </w:tc>
        <w:tc>
          <w:tcPr>
            <w:tcW w:w="963" w:type="dxa"/>
            <w:tcBorders>
              <w:top w:val="nil"/>
              <w:left w:val="nil"/>
              <w:bottom w:val="single" w:sz="4" w:space="0" w:color="auto"/>
              <w:right w:val="single" w:sz="4" w:space="0" w:color="auto"/>
            </w:tcBorders>
            <w:shd w:val="clear" w:color="000000" w:fill="FFFFFF"/>
            <w:noWrap/>
            <w:vAlign w:val="bottom"/>
            <w:hideMark/>
          </w:tcPr>
          <w:p w14:paraId="5FAA943C"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517</w:t>
            </w:r>
          </w:p>
        </w:tc>
        <w:tc>
          <w:tcPr>
            <w:tcW w:w="963" w:type="dxa"/>
            <w:tcBorders>
              <w:top w:val="nil"/>
              <w:left w:val="nil"/>
              <w:bottom w:val="single" w:sz="4" w:space="0" w:color="auto"/>
              <w:right w:val="single" w:sz="4" w:space="0" w:color="auto"/>
            </w:tcBorders>
            <w:shd w:val="clear" w:color="000000" w:fill="FFFFFF"/>
            <w:noWrap/>
            <w:vAlign w:val="bottom"/>
            <w:hideMark/>
          </w:tcPr>
          <w:p w14:paraId="2E05AC6C"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513</w:t>
            </w:r>
          </w:p>
        </w:tc>
        <w:tc>
          <w:tcPr>
            <w:tcW w:w="963" w:type="dxa"/>
            <w:tcBorders>
              <w:top w:val="nil"/>
              <w:left w:val="nil"/>
              <w:bottom w:val="single" w:sz="4" w:space="0" w:color="auto"/>
              <w:right w:val="single" w:sz="4" w:space="0" w:color="auto"/>
            </w:tcBorders>
            <w:shd w:val="clear" w:color="000000" w:fill="FFFFFF"/>
            <w:noWrap/>
            <w:vAlign w:val="bottom"/>
            <w:hideMark/>
          </w:tcPr>
          <w:p w14:paraId="2AB470EB"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542</w:t>
            </w:r>
          </w:p>
        </w:tc>
        <w:tc>
          <w:tcPr>
            <w:tcW w:w="963" w:type="dxa"/>
            <w:tcBorders>
              <w:top w:val="nil"/>
              <w:left w:val="nil"/>
              <w:bottom w:val="single" w:sz="4" w:space="0" w:color="auto"/>
              <w:right w:val="single" w:sz="4" w:space="0" w:color="auto"/>
            </w:tcBorders>
            <w:shd w:val="clear" w:color="000000" w:fill="FFFFFF"/>
            <w:noWrap/>
            <w:vAlign w:val="bottom"/>
            <w:hideMark/>
          </w:tcPr>
          <w:p w14:paraId="675CBE5C"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587</w:t>
            </w:r>
          </w:p>
        </w:tc>
        <w:tc>
          <w:tcPr>
            <w:tcW w:w="943" w:type="dxa"/>
            <w:tcBorders>
              <w:top w:val="nil"/>
              <w:left w:val="nil"/>
              <w:bottom w:val="single" w:sz="4" w:space="0" w:color="auto"/>
              <w:right w:val="single" w:sz="4" w:space="0" w:color="auto"/>
            </w:tcBorders>
            <w:noWrap/>
            <w:vAlign w:val="bottom"/>
            <w:hideMark/>
          </w:tcPr>
          <w:p w14:paraId="6BFFCB33"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27</w:t>
            </w:r>
          </w:p>
        </w:tc>
        <w:tc>
          <w:tcPr>
            <w:tcW w:w="824" w:type="dxa"/>
            <w:gridSpan w:val="2"/>
            <w:tcBorders>
              <w:top w:val="nil"/>
              <w:left w:val="nil"/>
              <w:bottom w:val="single" w:sz="4" w:space="0" w:color="auto"/>
              <w:right w:val="single" w:sz="4" w:space="0" w:color="auto"/>
            </w:tcBorders>
            <w:noWrap/>
            <w:vAlign w:val="bottom"/>
            <w:hideMark/>
          </w:tcPr>
          <w:p w14:paraId="4F23666D"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4.8%</w:t>
            </w:r>
          </w:p>
        </w:tc>
      </w:tr>
      <w:tr w:rsidR="00067BEB" w:rsidRPr="00067BEB" w14:paraId="74EE043B" w14:textId="77777777" w:rsidTr="006D6AD2">
        <w:trPr>
          <w:trHeight w:val="290"/>
        </w:trPr>
        <w:tc>
          <w:tcPr>
            <w:tcW w:w="3624" w:type="dxa"/>
            <w:tcBorders>
              <w:top w:val="nil"/>
              <w:left w:val="single" w:sz="4" w:space="0" w:color="auto"/>
              <w:bottom w:val="single" w:sz="4" w:space="0" w:color="auto"/>
              <w:right w:val="single" w:sz="4" w:space="0" w:color="auto"/>
            </w:tcBorders>
            <w:shd w:val="clear" w:color="000000" w:fill="FFFFFF"/>
            <w:noWrap/>
            <w:vAlign w:val="bottom"/>
            <w:hideMark/>
          </w:tcPr>
          <w:p w14:paraId="2AADADA2" w14:textId="77777777" w:rsidR="00067BEB" w:rsidRPr="00067BEB" w:rsidRDefault="00067BEB" w:rsidP="00067BEB">
            <w:pPr>
              <w:widowControl/>
              <w:autoSpaceDE/>
              <w:autoSpaceDN/>
              <w:rPr>
                <w:rFonts w:ascii="Calibri" w:eastAsia="Times New Roman" w:hAnsi="Calibri" w:cs="Calibri"/>
                <w:color w:val="000000"/>
                <w:lang w:bidi="ar-SA"/>
              </w:rPr>
            </w:pPr>
            <w:r w:rsidRPr="00067BEB">
              <w:rPr>
                <w:rFonts w:ascii="Calibri" w:eastAsia="Times New Roman" w:hAnsi="Calibri" w:cs="Calibri"/>
                <w:color w:val="000000"/>
                <w:lang w:bidi="ar-SA"/>
              </w:rPr>
              <w:t>Galantamine</w:t>
            </w:r>
          </w:p>
        </w:tc>
        <w:tc>
          <w:tcPr>
            <w:tcW w:w="963" w:type="dxa"/>
            <w:tcBorders>
              <w:top w:val="nil"/>
              <w:left w:val="nil"/>
              <w:bottom w:val="single" w:sz="4" w:space="0" w:color="auto"/>
              <w:right w:val="single" w:sz="4" w:space="0" w:color="auto"/>
            </w:tcBorders>
            <w:shd w:val="clear" w:color="000000" w:fill="FFFFFF"/>
            <w:noWrap/>
            <w:vAlign w:val="bottom"/>
            <w:hideMark/>
          </w:tcPr>
          <w:p w14:paraId="63EAF771"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92</w:t>
            </w:r>
          </w:p>
        </w:tc>
        <w:tc>
          <w:tcPr>
            <w:tcW w:w="963" w:type="dxa"/>
            <w:tcBorders>
              <w:top w:val="nil"/>
              <w:left w:val="nil"/>
              <w:bottom w:val="single" w:sz="4" w:space="0" w:color="auto"/>
              <w:right w:val="single" w:sz="4" w:space="0" w:color="auto"/>
            </w:tcBorders>
            <w:shd w:val="clear" w:color="000000" w:fill="FFFFFF"/>
            <w:noWrap/>
            <w:vAlign w:val="bottom"/>
            <w:hideMark/>
          </w:tcPr>
          <w:p w14:paraId="482390DA"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118</w:t>
            </w:r>
          </w:p>
        </w:tc>
        <w:tc>
          <w:tcPr>
            <w:tcW w:w="963" w:type="dxa"/>
            <w:tcBorders>
              <w:top w:val="nil"/>
              <w:left w:val="nil"/>
              <w:bottom w:val="single" w:sz="4" w:space="0" w:color="auto"/>
              <w:right w:val="single" w:sz="4" w:space="0" w:color="auto"/>
            </w:tcBorders>
            <w:shd w:val="clear" w:color="000000" w:fill="FFFFFF"/>
            <w:noWrap/>
            <w:vAlign w:val="bottom"/>
            <w:hideMark/>
          </w:tcPr>
          <w:p w14:paraId="1778DD21"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115</w:t>
            </w:r>
          </w:p>
        </w:tc>
        <w:tc>
          <w:tcPr>
            <w:tcW w:w="963" w:type="dxa"/>
            <w:tcBorders>
              <w:top w:val="nil"/>
              <w:left w:val="nil"/>
              <w:bottom w:val="single" w:sz="4" w:space="0" w:color="auto"/>
              <w:right w:val="single" w:sz="4" w:space="0" w:color="auto"/>
            </w:tcBorders>
            <w:shd w:val="clear" w:color="000000" w:fill="FFFFFF"/>
            <w:noWrap/>
            <w:vAlign w:val="bottom"/>
            <w:hideMark/>
          </w:tcPr>
          <w:p w14:paraId="12C7FDFA"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91</w:t>
            </w:r>
          </w:p>
        </w:tc>
        <w:tc>
          <w:tcPr>
            <w:tcW w:w="963" w:type="dxa"/>
            <w:tcBorders>
              <w:top w:val="nil"/>
              <w:left w:val="nil"/>
              <w:bottom w:val="single" w:sz="4" w:space="0" w:color="auto"/>
              <w:right w:val="single" w:sz="4" w:space="0" w:color="auto"/>
            </w:tcBorders>
            <w:shd w:val="clear" w:color="000000" w:fill="FFFFFF"/>
            <w:noWrap/>
            <w:vAlign w:val="bottom"/>
            <w:hideMark/>
          </w:tcPr>
          <w:p w14:paraId="1D672222"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65</w:t>
            </w:r>
          </w:p>
        </w:tc>
        <w:tc>
          <w:tcPr>
            <w:tcW w:w="943" w:type="dxa"/>
            <w:tcBorders>
              <w:top w:val="nil"/>
              <w:left w:val="nil"/>
              <w:bottom w:val="single" w:sz="4" w:space="0" w:color="auto"/>
              <w:right w:val="single" w:sz="4" w:space="0" w:color="auto"/>
            </w:tcBorders>
            <w:noWrap/>
            <w:vAlign w:val="bottom"/>
            <w:hideMark/>
          </w:tcPr>
          <w:p w14:paraId="189542AD"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-27</w:t>
            </w:r>
          </w:p>
        </w:tc>
        <w:tc>
          <w:tcPr>
            <w:tcW w:w="824" w:type="dxa"/>
            <w:gridSpan w:val="2"/>
            <w:tcBorders>
              <w:top w:val="nil"/>
              <w:left w:val="nil"/>
              <w:bottom w:val="single" w:sz="4" w:space="0" w:color="auto"/>
              <w:right w:val="single" w:sz="4" w:space="0" w:color="auto"/>
            </w:tcBorders>
            <w:noWrap/>
            <w:vAlign w:val="bottom"/>
            <w:hideMark/>
          </w:tcPr>
          <w:p w14:paraId="312BB5E6"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-29.3%</w:t>
            </w:r>
          </w:p>
        </w:tc>
      </w:tr>
      <w:tr w:rsidR="00067BEB" w:rsidRPr="00067BEB" w14:paraId="0629FF11" w14:textId="77777777" w:rsidTr="006D6AD2">
        <w:trPr>
          <w:trHeight w:val="290"/>
        </w:trPr>
        <w:tc>
          <w:tcPr>
            <w:tcW w:w="3624" w:type="dxa"/>
            <w:tcBorders>
              <w:top w:val="nil"/>
              <w:left w:val="single" w:sz="4" w:space="0" w:color="auto"/>
              <w:bottom w:val="single" w:sz="4" w:space="0" w:color="auto"/>
              <w:right w:val="single" w:sz="4" w:space="0" w:color="auto"/>
            </w:tcBorders>
            <w:shd w:val="clear" w:color="000000" w:fill="FFFFFF"/>
            <w:noWrap/>
            <w:vAlign w:val="bottom"/>
            <w:hideMark/>
          </w:tcPr>
          <w:p w14:paraId="6A2536CE" w14:textId="77777777" w:rsidR="00067BEB" w:rsidRPr="00067BEB" w:rsidRDefault="00067BEB" w:rsidP="00067BEB">
            <w:pPr>
              <w:widowControl/>
              <w:autoSpaceDE/>
              <w:autoSpaceDN/>
              <w:rPr>
                <w:rFonts w:ascii="Calibri" w:eastAsia="Times New Roman" w:hAnsi="Calibri" w:cs="Calibri"/>
                <w:color w:val="000000"/>
                <w:lang w:bidi="ar-SA"/>
              </w:rPr>
            </w:pPr>
            <w:r w:rsidRPr="00067BEB">
              <w:rPr>
                <w:rFonts w:ascii="Calibri" w:eastAsia="Times New Roman" w:hAnsi="Calibri" w:cs="Calibri"/>
                <w:color w:val="000000"/>
                <w:lang w:bidi="ar-SA"/>
              </w:rPr>
              <w:t>Donepezil hydrochloride</w:t>
            </w:r>
          </w:p>
        </w:tc>
        <w:tc>
          <w:tcPr>
            <w:tcW w:w="963" w:type="dxa"/>
            <w:tcBorders>
              <w:top w:val="nil"/>
              <w:left w:val="nil"/>
              <w:bottom w:val="single" w:sz="4" w:space="0" w:color="auto"/>
              <w:right w:val="single" w:sz="4" w:space="0" w:color="auto"/>
            </w:tcBorders>
            <w:shd w:val="clear" w:color="000000" w:fill="FFFFFF"/>
            <w:noWrap/>
            <w:vAlign w:val="bottom"/>
            <w:hideMark/>
          </w:tcPr>
          <w:p w14:paraId="30B461EA"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3,184</w:t>
            </w:r>
          </w:p>
        </w:tc>
        <w:tc>
          <w:tcPr>
            <w:tcW w:w="963" w:type="dxa"/>
            <w:tcBorders>
              <w:top w:val="nil"/>
              <w:left w:val="nil"/>
              <w:bottom w:val="single" w:sz="4" w:space="0" w:color="auto"/>
              <w:right w:val="single" w:sz="4" w:space="0" w:color="auto"/>
            </w:tcBorders>
            <w:shd w:val="clear" w:color="000000" w:fill="FFFFFF"/>
            <w:noWrap/>
            <w:vAlign w:val="bottom"/>
            <w:hideMark/>
          </w:tcPr>
          <w:p w14:paraId="131D2920"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2,631</w:t>
            </w:r>
          </w:p>
        </w:tc>
        <w:tc>
          <w:tcPr>
            <w:tcW w:w="963" w:type="dxa"/>
            <w:tcBorders>
              <w:top w:val="nil"/>
              <w:left w:val="nil"/>
              <w:bottom w:val="single" w:sz="4" w:space="0" w:color="auto"/>
              <w:right w:val="single" w:sz="4" w:space="0" w:color="auto"/>
            </w:tcBorders>
            <w:shd w:val="clear" w:color="000000" w:fill="FFFFFF"/>
            <w:noWrap/>
            <w:vAlign w:val="bottom"/>
            <w:hideMark/>
          </w:tcPr>
          <w:p w14:paraId="60BF5F4E"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2,573</w:t>
            </w:r>
          </w:p>
        </w:tc>
        <w:tc>
          <w:tcPr>
            <w:tcW w:w="963" w:type="dxa"/>
            <w:tcBorders>
              <w:top w:val="nil"/>
              <w:left w:val="nil"/>
              <w:bottom w:val="single" w:sz="4" w:space="0" w:color="auto"/>
              <w:right w:val="single" w:sz="4" w:space="0" w:color="auto"/>
            </w:tcBorders>
            <w:shd w:val="clear" w:color="000000" w:fill="FFFFFF"/>
            <w:noWrap/>
            <w:vAlign w:val="bottom"/>
            <w:hideMark/>
          </w:tcPr>
          <w:p w14:paraId="28B81365"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3,113</w:t>
            </w:r>
          </w:p>
        </w:tc>
        <w:tc>
          <w:tcPr>
            <w:tcW w:w="963" w:type="dxa"/>
            <w:tcBorders>
              <w:top w:val="nil"/>
              <w:left w:val="nil"/>
              <w:bottom w:val="single" w:sz="4" w:space="0" w:color="auto"/>
              <w:right w:val="single" w:sz="4" w:space="0" w:color="auto"/>
            </w:tcBorders>
            <w:shd w:val="clear" w:color="000000" w:fill="FFFFFF"/>
            <w:noWrap/>
            <w:vAlign w:val="bottom"/>
            <w:hideMark/>
          </w:tcPr>
          <w:p w14:paraId="38CCDE49"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3,275</w:t>
            </w:r>
          </w:p>
        </w:tc>
        <w:tc>
          <w:tcPr>
            <w:tcW w:w="943" w:type="dxa"/>
            <w:tcBorders>
              <w:top w:val="nil"/>
              <w:left w:val="nil"/>
              <w:bottom w:val="single" w:sz="4" w:space="0" w:color="auto"/>
              <w:right w:val="single" w:sz="4" w:space="0" w:color="auto"/>
            </w:tcBorders>
            <w:noWrap/>
            <w:vAlign w:val="bottom"/>
            <w:hideMark/>
          </w:tcPr>
          <w:p w14:paraId="26787322"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91</w:t>
            </w:r>
          </w:p>
        </w:tc>
        <w:tc>
          <w:tcPr>
            <w:tcW w:w="824" w:type="dxa"/>
            <w:gridSpan w:val="2"/>
            <w:tcBorders>
              <w:top w:val="nil"/>
              <w:left w:val="nil"/>
              <w:bottom w:val="single" w:sz="4" w:space="0" w:color="auto"/>
              <w:right w:val="single" w:sz="4" w:space="0" w:color="auto"/>
            </w:tcBorders>
            <w:noWrap/>
            <w:vAlign w:val="bottom"/>
            <w:hideMark/>
          </w:tcPr>
          <w:p w14:paraId="75E5A64E"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2.9%</w:t>
            </w:r>
          </w:p>
        </w:tc>
      </w:tr>
      <w:tr w:rsidR="00067BEB" w:rsidRPr="00067BEB" w14:paraId="3978C4C4" w14:textId="77777777" w:rsidTr="006D6AD2">
        <w:trPr>
          <w:trHeight w:val="290"/>
        </w:trPr>
        <w:tc>
          <w:tcPr>
            <w:tcW w:w="3624" w:type="dxa"/>
            <w:tcBorders>
              <w:top w:val="nil"/>
              <w:left w:val="single" w:sz="4" w:space="0" w:color="auto"/>
              <w:bottom w:val="single" w:sz="4" w:space="0" w:color="auto"/>
              <w:right w:val="single" w:sz="4" w:space="0" w:color="auto"/>
            </w:tcBorders>
            <w:shd w:val="clear" w:color="000000" w:fill="FFFFFF"/>
            <w:noWrap/>
            <w:vAlign w:val="bottom"/>
            <w:hideMark/>
          </w:tcPr>
          <w:p w14:paraId="142AE50D" w14:textId="77777777" w:rsidR="00067BEB" w:rsidRPr="00067BEB" w:rsidRDefault="00067BEB" w:rsidP="00067BEB">
            <w:pPr>
              <w:widowControl/>
              <w:autoSpaceDE/>
              <w:autoSpaceDN/>
              <w:rPr>
                <w:rFonts w:ascii="Calibri" w:eastAsia="Times New Roman" w:hAnsi="Calibri" w:cs="Calibri"/>
                <w:color w:val="000000"/>
                <w:lang w:bidi="ar-SA"/>
              </w:rPr>
            </w:pPr>
            <w:r w:rsidRPr="00067BEB">
              <w:rPr>
                <w:rFonts w:ascii="Calibri" w:eastAsia="Times New Roman" w:hAnsi="Calibri" w:cs="Calibri"/>
                <w:color w:val="000000"/>
                <w:lang w:bidi="ar-SA"/>
              </w:rPr>
              <w:t>Memantine hydrochloride</w:t>
            </w:r>
          </w:p>
        </w:tc>
        <w:tc>
          <w:tcPr>
            <w:tcW w:w="963" w:type="dxa"/>
            <w:tcBorders>
              <w:top w:val="nil"/>
              <w:left w:val="nil"/>
              <w:bottom w:val="single" w:sz="4" w:space="0" w:color="auto"/>
              <w:right w:val="single" w:sz="4" w:space="0" w:color="auto"/>
            </w:tcBorders>
            <w:shd w:val="clear" w:color="000000" w:fill="FFFFFF"/>
            <w:noWrap/>
            <w:vAlign w:val="bottom"/>
            <w:hideMark/>
          </w:tcPr>
          <w:p w14:paraId="4CA1EE33"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3,245</w:t>
            </w:r>
          </w:p>
        </w:tc>
        <w:tc>
          <w:tcPr>
            <w:tcW w:w="963" w:type="dxa"/>
            <w:tcBorders>
              <w:top w:val="nil"/>
              <w:left w:val="nil"/>
              <w:bottom w:val="single" w:sz="4" w:space="0" w:color="auto"/>
              <w:right w:val="single" w:sz="4" w:space="0" w:color="auto"/>
            </w:tcBorders>
            <w:shd w:val="clear" w:color="000000" w:fill="FFFFFF"/>
            <w:noWrap/>
            <w:vAlign w:val="bottom"/>
            <w:hideMark/>
          </w:tcPr>
          <w:p w14:paraId="7B3C097E"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2,740</w:t>
            </w:r>
          </w:p>
        </w:tc>
        <w:tc>
          <w:tcPr>
            <w:tcW w:w="963" w:type="dxa"/>
            <w:tcBorders>
              <w:top w:val="nil"/>
              <w:left w:val="nil"/>
              <w:bottom w:val="single" w:sz="4" w:space="0" w:color="auto"/>
              <w:right w:val="single" w:sz="4" w:space="0" w:color="auto"/>
            </w:tcBorders>
            <w:shd w:val="clear" w:color="000000" w:fill="FFFFFF"/>
            <w:noWrap/>
            <w:vAlign w:val="bottom"/>
            <w:hideMark/>
          </w:tcPr>
          <w:p w14:paraId="4945275A"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2,963</w:t>
            </w:r>
          </w:p>
        </w:tc>
        <w:tc>
          <w:tcPr>
            <w:tcW w:w="963" w:type="dxa"/>
            <w:tcBorders>
              <w:top w:val="nil"/>
              <w:left w:val="nil"/>
              <w:bottom w:val="single" w:sz="4" w:space="0" w:color="auto"/>
              <w:right w:val="single" w:sz="4" w:space="0" w:color="auto"/>
            </w:tcBorders>
            <w:shd w:val="clear" w:color="000000" w:fill="FFFFFF"/>
            <w:noWrap/>
            <w:vAlign w:val="bottom"/>
            <w:hideMark/>
          </w:tcPr>
          <w:p w14:paraId="7D0375D8"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3,897</w:t>
            </w:r>
          </w:p>
        </w:tc>
        <w:tc>
          <w:tcPr>
            <w:tcW w:w="963" w:type="dxa"/>
            <w:tcBorders>
              <w:top w:val="nil"/>
              <w:left w:val="nil"/>
              <w:bottom w:val="single" w:sz="4" w:space="0" w:color="auto"/>
              <w:right w:val="single" w:sz="4" w:space="0" w:color="auto"/>
            </w:tcBorders>
            <w:shd w:val="clear" w:color="000000" w:fill="FFFFFF"/>
            <w:noWrap/>
            <w:vAlign w:val="bottom"/>
            <w:hideMark/>
          </w:tcPr>
          <w:p w14:paraId="08CCCA9F"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4,786</w:t>
            </w:r>
          </w:p>
        </w:tc>
        <w:tc>
          <w:tcPr>
            <w:tcW w:w="943" w:type="dxa"/>
            <w:tcBorders>
              <w:top w:val="nil"/>
              <w:left w:val="nil"/>
              <w:bottom w:val="single" w:sz="4" w:space="0" w:color="auto"/>
              <w:right w:val="single" w:sz="4" w:space="0" w:color="auto"/>
            </w:tcBorders>
            <w:noWrap/>
            <w:vAlign w:val="bottom"/>
            <w:hideMark/>
          </w:tcPr>
          <w:p w14:paraId="3385DFA6"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1541</w:t>
            </w:r>
          </w:p>
        </w:tc>
        <w:tc>
          <w:tcPr>
            <w:tcW w:w="824" w:type="dxa"/>
            <w:gridSpan w:val="2"/>
            <w:tcBorders>
              <w:top w:val="nil"/>
              <w:left w:val="nil"/>
              <w:bottom w:val="single" w:sz="4" w:space="0" w:color="auto"/>
              <w:right w:val="single" w:sz="4" w:space="0" w:color="auto"/>
            </w:tcBorders>
            <w:noWrap/>
            <w:vAlign w:val="bottom"/>
            <w:hideMark/>
          </w:tcPr>
          <w:p w14:paraId="31E1AB63"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47.5%</w:t>
            </w:r>
          </w:p>
        </w:tc>
      </w:tr>
      <w:tr w:rsidR="00067BEB" w:rsidRPr="00067BEB" w14:paraId="0F3297A3" w14:textId="77777777" w:rsidTr="006D6AD2">
        <w:trPr>
          <w:trHeight w:val="290"/>
        </w:trPr>
        <w:tc>
          <w:tcPr>
            <w:tcW w:w="3624" w:type="dxa"/>
            <w:tcBorders>
              <w:top w:val="nil"/>
              <w:left w:val="single" w:sz="4" w:space="0" w:color="auto"/>
              <w:bottom w:val="single" w:sz="4" w:space="0" w:color="auto"/>
              <w:right w:val="single" w:sz="4" w:space="0" w:color="auto"/>
            </w:tcBorders>
            <w:shd w:val="clear" w:color="000000" w:fill="FFFFFF"/>
            <w:noWrap/>
            <w:vAlign w:val="bottom"/>
            <w:hideMark/>
          </w:tcPr>
          <w:p w14:paraId="692157D6" w14:textId="77777777" w:rsidR="00067BEB" w:rsidRPr="00067BEB" w:rsidRDefault="00067BEB" w:rsidP="00067BEB">
            <w:pPr>
              <w:widowControl/>
              <w:autoSpaceDE/>
              <w:autoSpaceDN/>
              <w:rPr>
                <w:rFonts w:ascii="Calibri" w:eastAsia="Times New Roman" w:hAnsi="Calibri" w:cs="Calibri"/>
                <w:b/>
                <w:bCs/>
                <w:color w:val="000000"/>
                <w:lang w:bidi="ar-SA"/>
              </w:rPr>
            </w:pPr>
            <w:r w:rsidRPr="00067BEB">
              <w:rPr>
                <w:rFonts w:ascii="Calibri" w:eastAsia="Times New Roman" w:hAnsi="Calibri" w:cs="Calibri"/>
                <w:b/>
                <w:bCs/>
                <w:color w:val="000000"/>
                <w:lang w:bidi="ar-SA"/>
              </w:rPr>
              <w:t>Total Items</w:t>
            </w:r>
          </w:p>
        </w:tc>
        <w:tc>
          <w:tcPr>
            <w:tcW w:w="963" w:type="dxa"/>
            <w:tcBorders>
              <w:top w:val="nil"/>
              <w:left w:val="nil"/>
              <w:bottom w:val="single" w:sz="4" w:space="0" w:color="auto"/>
              <w:right w:val="single" w:sz="4" w:space="0" w:color="auto"/>
            </w:tcBorders>
            <w:shd w:val="clear" w:color="000000" w:fill="FFFFFF"/>
            <w:noWrap/>
            <w:vAlign w:val="bottom"/>
            <w:hideMark/>
          </w:tcPr>
          <w:p w14:paraId="3F339544" w14:textId="77777777" w:rsidR="00067BEB" w:rsidRPr="00067BEB" w:rsidRDefault="00067BEB" w:rsidP="00067BEB">
            <w:pPr>
              <w:widowControl/>
              <w:autoSpaceDE/>
              <w:autoSpaceDN/>
              <w:jc w:val="right"/>
              <w:rPr>
                <w:rFonts w:ascii="Calibri" w:eastAsia="Times New Roman" w:hAnsi="Calibri" w:cs="Calibri"/>
                <w:b/>
                <w:bCs/>
                <w:color w:val="000000"/>
                <w:lang w:bidi="ar-SA"/>
              </w:rPr>
            </w:pPr>
            <w:r w:rsidRPr="00067BEB">
              <w:rPr>
                <w:rFonts w:ascii="Calibri" w:eastAsia="Times New Roman" w:hAnsi="Calibri" w:cs="Calibri"/>
                <w:b/>
                <w:bCs/>
                <w:color w:val="000000"/>
                <w:lang w:bidi="ar-SA"/>
              </w:rPr>
              <w:t>7,081</w:t>
            </w:r>
          </w:p>
        </w:tc>
        <w:tc>
          <w:tcPr>
            <w:tcW w:w="963" w:type="dxa"/>
            <w:tcBorders>
              <w:top w:val="nil"/>
              <w:left w:val="nil"/>
              <w:bottom w:val="single" w:sz="4" w:space="0" w:color="auto"/>
              <w:right w:val="single" w:sz="4" w:space="0" w:color="auto"/>
            </w:tcBorders>
            <w:shd w:val="clear" w:color="000000" w:fill="FFFFFF"/>
            <w:noWrap/>
            <w:vAlign w:val="bottom"/>
            <w:hideMark/>
          </w:tcPr>
          <w:p w14:paraId="38F23A74" w14:textId="77777777" w:rsidR="00067BEB" w:rsidRPr="00067BEB" w:rsidRDefault="00067BEB" w:rsidP="00067BEB">
            <w:pPr>
              <w:widowControl/>
              <w:autoSpaceDE/>
              <w:autoSpaceDN/>
              <w:jc w:val="right"/>
              <w:rPr>
                <w:rFonts w:ascii="Calibri" w:eastAsia="Times New Roman" w:hAnsi="Calibri" w:cs="Calibri"/>
                <w:b/>
                <w:bCs/>
                <w:color w:val="000000"/>
                <w:lang w:bidi="ar-SA"/>
              </w:rPr>
            </w:pPr>
            <w:r w:rsidRPr="00067BEB">
              <w:rPr>
                <w:rFonts w:ascii="Calibri" w:eastAsia="Times New Roman" w:hAnsi="Calibri" w:cs="Calibri"/>
                <w:b/>
                <w:bCs/>
                <w:color w:val="000000"/>
                <w:lang w:bidi="ar-SA"/>
              </w:rPr>
              <w:t>6,006</w:t>
            </w:r>
          </w:p>
        </w:tc>
        <w:tc>
          <w:tcPr>
            <w:tcW w:w="963" w:type="dxa"/>
            <w:tcBorders>
              <w:top w:val="nil"/>
              <w:left w:val="nil"/>
              <w:bottom w:val="single" w:sz="4" w:space="0" w:color="auto"/>
              <w:right w:val="single" w:sz="4" w:space="0" w:color="auto"/>
            </w:tcBorders>
            <w:shd w:val="clear" w:color="000000" w:fill="FFFFFF"/>
            <w:noWrap/>
            <w:vAlign w:val="bottom"/>
            <w:hideMark/>
          </w:tcPr>
          <w:p w14:paraId="3FB94B6F" w14:textId="77777777" w:rsidR="00067BEB" w:rsidRPr="00067BEB" w:rsidRDefault="00067BEB" w:rsidP="00067BEB">
            <w:pPr>
              <w:widowControl/>
              <w:autoSpaceDE/>
              <w:autoSpaceDN/>
              <w:jc w:val="right"/>
              <w:rPr>
                <w:rFonts w:ascii="Calibri" w:eastAsia="Times New Roman" w:hAnsi="Calibri" w:cs="Calibri"/>
                <w:b/>
                <w:bCs/>
                <w:color w:val="000000"/>
                <w:lang w:bidi="ar-SA"/>
              </w:rPr>
            </w:pPr>
            <w:r w:rsidRPr="00067BEB">
              <w:rPr>
                <w:rFonts w:ascii="Calibri" w:eastAsia="Times New Roman" w:hAnsi="Calibri" w:cs="Calibri"/>
                <w:b/>
                <w:bCs/>
                <w:color w:val="000000"/>
                <w:lang w:bidi="ar-SA"/>
              </w:rPr>
              <w:t>6,164</w:t>
            </w:r>
          </w:p>
        </w:tc>
        <w:tc>
          <w:tcPr>
            <w:tcW w:w="963" w:type="dxa"/>
            <w:tcBorders>
              <w:top w:val="nil"/>
              <w:left w:val="nil"/>
              <w:bottom w:val="single" w:sz="4" w:space="0" w:color="auto"/>
              <w:right w:val="single" w:sz="4" w:space="0" w:color="auto"/>
            </w:tcBorders>
            <w:shd w:val="clear" w:color="000000" w:fill="FFFFFF"/>
            <w:noWrap/>
            <w:vAlign w:val="bottom"/>
            <w:hideMark/>
          </w:tcPr>
          <w:p w14:paraId="428FAC41" w14:textId="77777777" w:rsidR="00067BEB" w:rsidRPr="00067BEB" w:rsidRDefault="00067BEB" w:rsidP="00067BEB">
            <w:pPr>
              <w:widowControl/>
              <w:autoSpaceDE/>
              <w:autoSpaceDN/>
              <w:jc w:val="right"/>
              <w:rPr>
                <w:rFonts w:ascii="Calibri" w:eastAsia="Times New Roman" w:hAnsi="Calibri" w:cs="Calibri"/>
                <w:b/>
                <w:bCs/>
                <w:color w:val="000000"/>
                <w:lang w:bidi="ar-SA"/>
              </w:rPr>
            </w:pPr>
            <w:r w:rsidRPr="00067BEB">
              <w:rPr>
                <w:rFonts w:ascii="Calibri" w:eastAsia="Times New Roman" w:hAnsi="Calibri" w:cs="Calibri"/>
                <w:b/>
                <w:bCs/>
                <w:color w:val="000000"/>
                <w:lang w:bidi="ar-SA"/>
              </w:rPr>
              <w:t>7,643</w:t>
            </w:r>
          </w:p>
        </w:tc>
        <w:tc>
          <w:tcPr>
            <w:tcW w:w="963" w:type="dxa"/>
            <w:tcBorders>
              <w:top w:val="nil"/>
              <w:left w:val="nil"/>
              <w:bottom w:val="single" w:sz="4" w:space="0" w:color="auto"/>
              <w:right w:val="single" w:sz="4" w:space="0" w:color="auto"/>
            </w:tcBorders>
            <w:shd w:val="clear" w:color="000000" w:fill="FFFFFF"/>
            <w:noWrap/>
            <w:vAlign w:val="bottom"/>
            <w:hideMark/>
          </w:tcPr>
          <w:p w14:paraId="1CD005AB" w14:textId="77777777" w:rsidR="00067BEB" w:rsidRPr="00067BEB" w:rsidRDefault="00067BEB" w:rsidP="00067BEB">
            <w:pPr>
              <w:widowControl/>
              <w:autoSpaceDE/>
              <w:autoSpaceDN/>
              <w:jc w:val="right"/>
              <w:rPr>
                <w:rFonts w:ascii="Calibri" w:eastAsia="Times New Roman" w:hAnsi="Calibri" w:cs="Calibri"/>
                <w:b/>
                <w:bCs/>
                <w:color w:val="000000"/>
                <w:lang w:bidi="ar-SA"/>
              </w:rPr>
            </w:pPr>
            <w:r w:rsidRPr="00067BEB">
              <w:rPr>
                <w:rFonts w:ascii="Calibri" w:eastAsia="Times New Roman" w:hAnsi="Calibri" w:cs="Calibri"/>
                <w:b/>
                <w:bCs/>
                <w:color w:val="000000"/>
                <w:lang w:bidi="ar-SA"/>
              </w:rPr>
              <w:t>8,713</w:t>
            </w:r>
          </w:p>
        </w:tc>
        <w:tc>
          <w:tcPr>
            <w:tcW w:w="943" w:type="dxa"/>
            <w:tcBorders>
              <w:top w:val="nil"/>
              <w:left w:val="nil"/>
              <w:bottom w:val="single" w:sz="4" w:space="0" w:color="auto"/>
              <w:right w:val="single" w:sz="4" w:space="0" w:color="auto"/>
            </w:tcBorders>
            <w:noWrap/>
            <w:vAlign w:val="bottom"/>
            <w:hideMark/>
          </w:tcPr>
          <w:p w14:paraId="7376329B"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1632</w:t>
            </w:r>
          </w:p>
        </w:tc>
        <w:tc>
          <w:tcPr>
            <w:tcW w:w="824" w:type="dxa"/>
            <w:gridSpan w:val="2"/>
            <w:tcBorders>
              <w:top w:val="nil"/>
              <w:left w:val="nil"/>
              <w:bottom w:val="single" w:sz="4" w:space="0" w:color="auto"/>
              <w:right w:val="single" w:sz="4" w:space="0" w:color="auto"/>
            </w:tcBorders>
            <w:noWrap/>
            <w:vAlign w:val="bottom"/>
            <w:hideMark/>
          </w:tcPr>
          <w:p w14:paraId="18805B13"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23.0%</w:t>
            </w:r>
          </w:p>
        </w:tc>
      </w:tr>
      <w:tr w:rsidR="00067BEB" w:rsidRPr="00067BEB" w14:paraId="7412DB44" w14:textId="77777777" w:rsidTr="006D6AD2">
        <w:trPr>
          <w:trHeight w:val="290"/>
        </w:trPr>
        <w:tc>
          <w:tcPr>
            <w:tcW w:w="3624" w:type="dxa"/>
            <w:tcBorders>
              <w:top w:val="nil"/>
              <w:left w:val="single" w:sz="4" w:space="0" w:color="auto"/>
              <w:bottom w:val="single" w:sz="4" w:space="0" w:color="auto"/>
              <w:right w:val="single" w:sz="4" w:space="0" w:color="auto"/>
            </w:tcBorders>
            <w:shd w:val="clear" w:color="000000" w:fill="FFFFFF"/>
            <w:noWrap/>
            <w:vAlign w:val="bottom"/>
            <w:hideMark/>
          </w:tcPr>
          <w:p w14:paraId="22EFF061" w14:textId="77777777" w:rsidR="00067BEB" w:rsidRPr="00067BEB" w:rsidRDefault="00067BEB" w:rsidP="00067BEB">
            <w:pPr>
              <w:widowControl/>
              <w:autoSpaceDE/>
              <w:autoSpaceDN/>
              <w:rPr>
                <w:rFonts w:ascii="Calibri" w:eastAsia="Times New Roman" w:hAnsi="Calibri" w:cs="Calibri"/>
                <w:color w:val="000000"/>
                <w:lang w:bidi="ar-SA"/>
              </w:rPr>
            </w:pPr>
            <w:r w:rsidRPr="00067BEB">
              <w:rPr>
                <w:rFonts w:ascii="Calibri" w:eastAsia="Times New Roman" w:hAnsi="Calibri" w:cs="Calibri"/>
                <w:color w:val="000000"/>
                <w:lang w:bidi="ar-SA"/>
              </w:rPr>
              <w:t>Rivastigmine actual cost</w:t>
            </w:r>
          </w:p>
        </w:tc>
        <w:tc>
          <w:tcPr>
            <w:tcW w:w="963" w:type="dxa"/>
            <w:tcBorders>
              <w:top w:val="nil"/>
              <w:left w:val="nil"/>
              <w:bottom w:val="single" w:sz="4" w:space="0" w:color="auto"/>
              <w:right w:val="single" w:sz="4" w:space="0" w:color="auto"/>
            </w:tcBorders>
            <w:shd w:val="clear" w:color="000000" w:fill="FFFFFF"/>
            <w:noWrap/>
            <w:vAlign w:val="bottom"/>
            <w:hideMark/>
          </w:tcPr>
          <w:p w14:paraId="69E57A80"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£13,479</w:t>
            </w:r>
          </w:p>
        </w:tc>
        <w:tc>
          <w:tcPr>
            <w:tcW w:w="963" w:type="dxa"/>
            <w:tcBorders>
              <w:top w:val="nil"/>
              <w:left w:val="nil"/>
              <w:bottom w:val="single" w:sz="4" w:space="0" w:color="auto"/>
              <w:right w:val="single" w:sz="4" w:space="0" w:color="auto"/>
            </w:tcBorders>
            <w:shd w:val="clear" w:color="000000" w:fill="FFFFFF"/>
            <w:noWrap/>
            <w:vAlign w:val="bottom"/>
            <w:hideMark/>
          </w:tcPr>
          <w:p w14:paraId="2399625C"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£13,037</w:t>
            </w:r>
          </w:p>
        </w:tc>
        <w:tc>
          <w:tcPr>
            <w:tcW w:w="963" w:type="dxa"/>
            <w:tcBorders>
              <w:top w:val="nil"/>
              <w:left w:val="nil"/>
              <w:bottom w:val="single" w:sz="4" w:space="0" w:color="auto"/>
              <w:right w:val="single" w:sz="4" w:space="0" w:color="auto"/>
            </w:tcBorders>
            <w:shd w:val="clear" w:color="000000" w:fill="FFFFFF"/>
            <w:noWrap/>
            <w:vAlign w:val="bottom"/>
            <w:hideMark/>
          </w:tcPr>
          <w:p w14:paraId="4E5F1F70"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£11,106</w:t>
            </w:r>
          </w:p>
        </w:tc>
        <w:tc>
          <w:tcPr>
            <w:tcW w:w="963" w:type="dxa"/>
            <w:tcBorders>
              <w:top w:val="nil"/>
              <w:left w:val="nil"/>
              <w:bottom w:val="single" w:sz="4" w:space="0" w:color="auto"/>
              <w:right w:val="single" w:sz="4" w:space="0" w:color="auto"/>
            </w:tcBorders>
            <w:shd w:val="clear" w:color="000000" w:fill="FFFFFF"/>
            <w:noWrap/>
            <w:vAlign w:val="bottom"/>
            <w:hideMark/>
          </w:tcPr>
          <w:p w14:paraId="3245F87C"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£12,649</w:t>
            </w:r>
          </w:p>
        </w:tc>
        <w:tc>
          <w:tcPr>
            <w:tcW w:w="963" w:type="dxa"/>
            <w:tcBorders>
              <w:top w:val="nil"/>
              <w:left w:val="nil"/>
              <w:bottom w:val="single" w:sz="4" w:space="0" w:color="auto"/>
              <w:right w:val="single" w:sz="4" w:space="0" w:color="auto"/>
            </w:tcBorders>
            <w:shd w:val="clear" w:color="000000" w:fill="FFFFFF"/>
            <w:noWrap/>
            <w:vAlign w:val="bottom"/>
            <w:hideMark/>
          </w:tcPr>
          <w:p w14:paraId="415A7CFF"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£14,833</w:t>
            </w:r>
          </w:p>
        </w:tc>
        <w:tc>
          <w:tcPr>
            <w:tcW w:w="943" w:type="dxa"/>
            <w:tcBorders>
              <w:top w:val="nil"/>
              <w:left w:val="nil"/>
              <w:bottom w:val="single" w:sz="4" w:space="0" w:color="auto"/>
              <w:right w:val="single" w:sz="4" w:space="0" w:color="auto"/>
            </w:tcBorders>
            <w:noWrap/>
            <w:vAlign w:val="bottom"/>
            <w:hideMark/>
          </w:tcPr>
          <w:p w14:paraId="477A1535"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£1,354</w:t>
            </w:r>
          </w:p>
        </w:tc>
        <w:tc>
          <w:tcPr>
            <w:tcW w:w="824" w:type="dxa"/>
            <w:gridSpan w:val="2"/>
            <w:tcBorders>
              <w:top w:val="nil"/>
              <w:left w:val="nil"/>
              <w:bottom w:val="single" w:sz="4" w:space="0" w:color="auto"/>
              <w:right w:val="single" w:sz="4" w:space="0" w:color="auto"/>
            </w:tcBorders>
            <w:noWrap/>
            <w:vAlign w:val="bottom"/>
            <w:hideMark/>
          </w:tcPr>
          <w:p w14:paraId="318C728A"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10.0%</w:t>
            </w:r>
          </w:p>
        </w:tc>
      </w:tr>
      <w:tr w:rsidR="00067BEB" w:rsidRPr="00067BEB" w14:paraId="4665FC22" w14:textId="77777777" w:rsidTr="006D6AD2">
        <w:trPr>
          <w:trHeight w:val="290"/>
        </w:trPr>
        <w:tc>
          <w:tcPr>
            <w:tcW w:w="3624" w:type="dxa"/>
            <w:tcBorders>
              <w:top w:val="nil"/>
              <w:left w:val="single" w:sz="4" w:space="0" w:color="auto"/>
              <w:bottom w:val="single" w:sz="4" w:space="0" w:color="auto"/>
              <w:right w:val="single" w:sz="4" w:space="0" w:color="auto"/>
            </w:tcBorders>
            <w:shd w:val="clear" w:color="000000" w:fill="FFFFFF"/>
            <w:noWrap/>
            <w:vAlign w:val="bottom"/>
            <w:hideMark/>
          </w:tcPr>
          <w:p w14:paraId="1272B651" w14:textId="77777777" w:rsidR="00067BEB" w:rsidRPr="00067BEB" w:rsidRDefault="00067BEB" w:rsidP="00067BEB">
            <w:pPr>
              <w:widowControl/>
              <w:autoSpaceDE/>
              <w:autoSpaceDN/>
              <w:rPr>
                <w:rFonts w:ascii="Calibri" w:eastAsia="Times New Roman" w:hAnsi="Calibri" w:cs="Calibri"/>
                <w:color w:val="000000"/>
                <w:lang w:bidi="ar-SA"/>
              </w:rPr>
            </w:pPr>
            <w:r w:rsidRPr="00067BEB">
              <w:rPr>
                <w:rFonts w:ascii="Calibri" w:eastAsia="Times New Roman" w:hAnsi="Calibri" w:cs="Calibri"/>
                <w:color w:val="000000"/>
                <w:lang w:bidi="ar-SA"/>
              </w:rPr>
              <w:t>Galantamine actual cost</w:t>
            </w:r>
          </w:p>
        </w:tc>
        <w:tc>
          <w:tcPr>
            <w:tcW w:w="963" w:type="dxa"/>
            <w:tcBorders>
              <w:top w:val="nil"/>
              <w:left w:val="nil"/>
              <w:bottom w:val="single" w:sz="4" w:space="0" w:color="auto"/>
              <w:right w:val="single" w:sz="4" w:space="0" w:color="auto"/>
            </w:tcBorders>
            <w:shd w:val="clear" w:color="000000" w:fill="FFFFFF"/>
            <w:noWrap/>
            <w:vAlign w:val="bottom"/>
            <w:hideMark/>
          </w:tcPr>
          <w:p w14:paraId="55C90995"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£2,310</w:t>
            </w:r>
          </w:p>
        </w:tc>
        <w:tc>
          <w:tcPr>
            <w:tcW w:w="963" w:type="dxa"/>
            <w:tcBorders>
              <w:top w:val="nil"/>
              <w:left w:val="nil"/>
              <w:bottom w:val="single" w:sz="4" w:space="0" w:color="auto"/>
              <w:right w:val="single" w:sz="4" w:space="0" w:color="auto"/>
            </w:tcBorders>
            <w:shd w:val="clear" w:color="000000" w:fill="FFFFFF"/>
            <w:noWrap/>
            <w:vAlign w:val="bottom"/>
            <w:hideMark/>
          </w:tcPr>
          <w:p w14:paraId="1C816FE6"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£3,895</w:t>
            </w:r>
          </w:p>
        </w:tc>
        <w:tc>
          <w:tcPr>
            <w:tcW w:w="963" w:type="dxa"/>
            <w:tcBorders>
              <w:top w:val="nil"/>
              <w:left w:val="nil"/>
              <w:bottom w:val="single" w:sz="4" w:space="0" w:color="auto"/>
              <w:right w:val="single" w:sz="4" w:space="0" w:color="auto"/>
            </w:tcBorders>
            <w:shd w:val="clear" w:color="000000" w:fill="FFFFFF"/>
            <w:noWrap/>
            <w:vAlign w:val="bottom"/>
            <w:hideMark/>
          </w:tcPr>
          <w:p w14:paraId="2CAE8B12"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£2,826</w:t>
            </w:r>
          </w:p>
        </w:tc>
        <w:tc>
          <w:tcPr>
            <w:tcW w:w="963" w:type="dxa"/>
            <w:tcBorders>
              <w:top w:val="nil"/>
              <w:left w:val="nil"/>
              <w:bottom w:val="single" w:sz="4" w:space="0" w:color="auto"/>
              <w:right w:val="single" w:sz="4" w:space="0" w:color="auto"/>
            </w:tcBorders>
            <w:shd w:val="clear" w:color="000000" w:fill="FFFFFF"/>
            <w:noWrap/>
            <w:vAlign w:val="bottom"/>
            <w:hideMark/>
          </w:tcPr>
          <w:p w14:paraId="3F19F413"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£2,367</w:t>
            </w:r>
          </w:p>
        </w:tc>
        <w:tc>
          <w:tcPr>
            <w:tcW w:w="963" w:type="dxa"/>
            <w:tcBorders>
              <w:top w:val="nil"/>
              <w:left w:val="nil"/>
              <w:bottom w:val="single" w:sz="4" w:space="0" w:color="auto"/>
              <w:right w:val="single" w:sz="4" w:space="0" w:color="auto"/>
            </w:tcBorders>
            <w:shd w:val="clear" w:color="000000" w:fill="FFFFFF"/>
            <w:noWrap/>
            <w:vAlign w:val="bottom"/>
            <w:hideMark/>
          </w:tcPr>
          <w:p w14:paraId="61B56221"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£2,021</w:t>
            </w:r>
          </w:p>
        </w:tc>
        <w:tc>
          <w:tcPr>
            <w:tcW w:w="943" w:type="dxa"/>
            <w:tcBorders>
              <w:top w:val="nil"/>
              <w:left w:val="nil"/>
              <w:bottom w:val="single" w:sz="4" w:space="0" w:color="auto"/>
              <w:right w:val="single" w:sz="4" w:space="0" w:color="auto"/>
            </w:tcBorders>
            <w:noWrap/>
            <w:vAlign w:val="bottom"/>
            <w:hideMark/>
          </w:tcPr>
          <w:p w14:paraId="0682750B"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-£289</w:t>
            </w:r>
          </w:p>
        </w:tc>
        <w:tc>
          <w:tcPr>
            <w:tcW w:w="824" w:type="dxa"/>
            <w:gridSpan w:val="2"/>
            <w:tcBorders>
              <w:top w:val="nil"/>
              <w:left w:val="nil"/>
              <w:bottom w:val="single" w:sz="4" w:space="0" w:color="auto"/>
              <w:right w:val="single" w:sz="4" w:space="0" w:color="auto"/>
            </w:tcBorders>
            <w:noWrap/>
            <w:vAlign w:val="bottom"/>
            <w:hideMark/>
          </w:tcPr>
          <w:p w14:paraId="55D0CD6F"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-12.5%</w:t>
            </w:r>
          </w:p>
        </w:tc>
      </w:tr>
      <w:tr w:rsidR="00067BEB" w:rsidRPr="00067BEB" w14:paraId="60A22244" w14:textId="77777777" w:rsidTr="006D6AD2">
        <w:trPr>
          <w:trHeight w:val="290"/>
        </w:trPr>
        <w:tc>
          <w:tcPr>
            <w:tcW w:w="3624" w:type="dxa"/>
            <w:tcBorders>
              <w:top w:val="nil"/>
              <w:left w:val="single" w:sz="4" w:space="0" w:color="auto"/>
              <w:bottom w:val="single" w:sz="4" w:space="0" w:color="auto"/>
              <w:right w:val="single" w:sz="4" w:space="0" w:color="auto"/>
            </w:tcBorders>
            <w:shd w:val="clear" w:color="000000" w:fill="FFFFFF"/>
            <w:noWrap/>
            <w:vAlign w:val="bottom"/>
            <w:hideMark/>
          </w:tcPr>
          <w:p w14:paraId="518671E7" w14:textId="77777777" w:rsidR="00067BEB" w:rsidRPr="00067BEB" w:rsidRDefault="00067BEB" w:rsidP="00067BEB">
            <w:pPr>
              <w:widowControl/>
              <w:autoSpaceDE/>
              <w:autoSpaceDN/>
              <w:rPr>
                <w:rFonts w:ascii="Calibri" w:eastAsia="Times New Roman" w:hAnsi="Calibri" w:cs="Calibri"/>
                <w:color w:val="000000"/>
                <w:lang w:bidi="ar-SA"/>
              </w:rPr>
            </w:pPr>
            <w:r w:rsidRPr="00067BEB">
              <w:rPr>
                <w:rFonts w:ascii="Calibri" w:eastAsia="Times New Roman" w:hAnsi="Calibri" w:cs="Calibri"/>
                <w:color w:val="000000"/>
                <w:lang w:bidi="ar-SA"/>
              </w:rPr>
              <w:t>Donepezil hydrochloride actual cost</w:t>
            </w:r>
          </w:p>
        </w:tc>
        <w:tc>
          <w:tcPr>
            <w:tcW w:w="963" w:type="dxa"/>
            <w:tcBorders>
              <w:top w:val="nil"/>
              <w:left w:val="nil"/>
              <w:bottom w:val="single" w:sz="4" w:space="0" w:color="auto"/>
              <w:right w:val="single" w:sz="4" w:space="0" w:color="auto"/>
            </w:tcBorders>
            <w:shd w:val="clear" w:color="000000" w:fill="FFFFFF"/>
            <w:noWrap/>
            <w:vAlign w:val="bottom"/>
            <w:hideMark/>
          </w:tcPr>
          <w:p w14:paraId="2DCC84AF"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£7,976</w:t>
            </w:r>
          </w:p>
        </w:tc>
        <w:tc>
          <w:tcPr>
            <w:tcW w:w="963" w:type="dxa"/>
            <w:tcBorders>
              <w:top w:val="nil"/>
              <w:left w:val="nil"/>
              <w:bottom w:val="single" w:sz="4" w:space="0" w:color="auto"/>
              <w:right w:val="single" w:sz="4" w:space="0" w:color="auto"/>
            </w:tcBorders>
            <w:shd w:val="clear" w:color="000000" w:fill="FFFFFF"/>
            <w:noWrap/>
            <w:vAlign w:val="bottom"/>
            <w:hideMark/>
          </w:tcPr>
          <w:p w14:paraId="1A0AF848"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£13,030</w:t>
            </w:r>
          </w:p>
        </w:tc>
        <w:tc>
          <w:tcPr>
            <w:tcW w:w="963" w:type="dxa"/>
            <w:tcBorders>
              <w:top w:val="nil"/>
              <w:left w:val="nil"/>
              <w:bottom w:val="single" w:sz="4" w:space="0" w:color="auto"/>
              <w:right w:val="single" w:sz="4" w:space="0" w:color="auto"/>
            </w:tcBorders>
            <w:shd w:val="clear" w:color="000000" w:fill="FFFFFF"/>
            <w:noWrap/>
            <w:vAlign w:val="bottom"/>
            <w:hideMark/>
          </w:tcPr>
          <w:p w14:paraId="31E3994E"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£14,313</w:t>
            </w:r>
          </w:p>
        </w:tc>
        <w:tc>
          <w:tcPr>
            <w:tcW w:w="963" w:type="dxa"/>
            <w:tcBorders>
              <w:top w:val="nil"/>
              <w:left w:val="nil"/>
              <w:bottom w:val="single" w:sz="4" w:space="0" w:color="auto"/>
              <w:right w:val="single" w:sz="4" w:space="0" w:color="auto"/>
            </w:tcBorders>
            <w:shd w:val="clear" w:color="000000" w:fill="FFFFFF"/>
            <w:noWrap/>
            <w:vAlign w:val="bottom"/>
            <w:hideMark/>
          </w:tcPr>
          <w:p w14:paraId="037D1331"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£18,798</w:t>
            </w:r>
          </w:p>
        </w:tc>
        <w:tc>
          <w:tcPr>
            <w:tcW w:w="963" w:type="dxa"/>
            <w:tcBorders>
              <w:top w:val="nil"/>
              <w:left w:val="nil"/>
              <w:bottom w:val="single" w:sz="4" w:space="0" w:color="auto"/>
              <w:right w:val="single" w:sz="4" w:space="0" w:color="auto"/>
            </w:tcBorders>
            <w:shd w:val="clear" w:color="000000" w:fill="FFFFFF"/>
            <w:noWrap/>
            <w:vAlign w:val="bottom"/>
            <w:hideMark/>
          </w:tcPr>
          <w:p w14:paraId="7055E7B6"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£18,765</w:t>
            </w:r>
          </w:p>
        </w:tc>
        <w:tc>
          <w:tcPr>
            <w:tcW w:w="943" w:type="dxa"/>
            <w:tcBorders>
              <w:top w:val="nil"/>
              <w:left w:val="nil"/>
              <w:bottom w:val="single" w:sz="4" w:space="0" w:color="auto"/>
              <w:right w:val="single" w:sz="4" w:space="0" w:color="auto"/>
            </w:tcBorders>
            <w:noWrap/>
            <w:vAlign w:val="bottom"/>
            <w:hideMark/>
          </w:tcPr>
          <w:p w14:paraId="2AA711B4"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£10,789</w:t>
            </w:r>
          </w:p>
        </w:tc>
        <w:tc>
          <w:tcPr>
            <w:tcW w:w="824" w:type="dxa"/>
            <w:gridSpan w:val="2"/>
            <w:tcBorders>
              <w:top w:val="nil"/>
              <w:left w:val="nil"/>
              <w:bottom w:val="single" w:sz="4" w:space="0" w:color="auto"/>
              <w:right w:val="single" w:sz="4" w:space="0" w:color="auto"/>
            </w:tcBorders>
            <w:noWrap/>
            <w:vAlign w:val="bottom"/>
            <w:hideMark/>
          </w:tcPr>
          <w:p w14:paraId="665EDF1C"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135.3%</w:t>
            </w:r>
          </w:p>
        </w:tc>
      </w:tr>
      <w:tr w:rsidR="00067BEB" w:rsidRPr="00067BEB" w14:paraId="04BF8B1B" w14:textId="77777777" w:rsidTr="006D6AD2">
        <w:trPr>
          <w:trHeight w:val="290"/>
        </w:trPr>
        <w:tc>
          <w:tcPr>
            <w:tcW w:w="3624" w:type="dxa"/>
            <w:tcBorders>
              <w:top w:val="nil"/>
              <w:left w:val="single" w:sz="4" w:space="0" w:color="auto"/>
              <w:bottom w:val="single" w:sz="4" w:space="0" w:color="auto"/>
              <w:right w:val="single" w:sz="4" w:space="0" w:color="auto"/>
            </w:tcBorders>
            <w:shd w:val="clear" w:color="000000" w:fill="FFFFFF"/>
            <w:noWrap/>
            <w:vAlign w:val="bottom"/>
            <w:hideMark/>
          </w:tcPr>
          <w:p w14:paraId="47097686" w14:textId="77777777" w:rsidR="00067BEB" w:rsidRPr="00067BEB" w:rsidRDefault="00067BEB" w:rsidP="00067BEB">
            <w:pPr>
              <w:widowControl/>
              <w:autoSpaceDE/>
              <w:autoSpaceDN/>
              <w:rPr>
                <w:rFonts w:ascii="Calibri" w:eastAsia="Times New Roman" w:hAnsi="Calibri" w:cs="Calibri"/>
                <w:color w:val="000000"/>
                <w:lang w:bidi="ar-SA"/>
              </w:rPr>
            </w:pPr>
            <w:r w:rsidRPr="00067BEB">
              <w:rPr>
                <w:rFonts w:ascii="Calibri" w:eastAsia="Times New Roman" w:hAnsi="Calibri" w:cs="Calibri"/>
                <w:color w:val="000000"/>
                <w:lang w:bidi="ar-SA"/>
              </w:rPr>
              <w:t>Memantine hydrochloride actual cost</w:t>
            </w:r>
          </w:p>
        </w:tc>
        <w:tc>
          <w:tcPr>
            <w:tcW w:w="963" w:type="dxa"/>
            <w:tcBorders>
              <w:top w:val="nil"/>
              <w:left w:val="nil"/>
              <w:bottom w:val="single" w:sz="4" w:space="0" w:color="auto"/>
              <w:right w:val="single" w:sz="4" w:space="0" w:color="auto"/>
            </w:tcBorders>
            <w:shd w:val="clear" w:color="000000" w:fill="FFFFFF"/>
            <w:noWrap/>
            <w:vAlign w:val="bottom"/>
            <w:hideMark/>
          </w:tcPr>
          <w:p w14:paraId="5114DB21"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£30,738</w:t>
            </w:r>
          </w:p>
        </w:tc>
        <w:tc>
          <w:tcPr>
            <w:tcW w:w="963" w:type="dxa"/>
            <w:tcBorders>
              <w:top w:val="nil"/>
              <w:left w:val="nil"/>
              <w:bottom w:val="single" w:sz="4" w:space="0" w:color="auto"/>
              <w:right w:val="single" w:sz="4" w:space="0" w:color="auto"/>
            </w:tcBorders>
            <w:shd w:val="clear" w:color="000000" w:fill="FFFFFF"/>
            <w:noWrap/>
            <w:vAlign w:val="bottom"/>
            <w:hideMark/>
          </w:tcPr>
          <w:p w14:paraId="282762C5"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£11,818</w:t>
            </w:r>
          </w:p>
        </w:tc>
        <w:tc>
          <w:tcPr>
            <w:tcW w:w="963" w:type="dxa"/>
            <w:tcBorders>
              <w:top w:val="nil"/>
              <w:left w:val="nil"/>
              <w:bottom w:val="single" w:sz="4" w:space="0" w:color="auto"/>
              <w:right w:val="single" w:sz="4" w:space="0" w:color="auto"/>
            </w:tcBorders>
            <w:shd w:val="clear" w:color="000000" w:fill="FFFFFF"/>
            <w:noWrap/>
            <w:vAlign w:val="bottom"/>
            <w:hideMark/>
          </w:tcPr>
          <w:p w14:paraId="0A04FAFC"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£9,075</w:t>
            </w:r>
          </w:p>
        </w:tc>
        <w:tc>
          <w:tcPr>
            <w:tcW w:w="963" w:type="dxa"/>
            <w:tcBorders>
              <w:top w:val="nil"/>
              <w:left w:val="nil"/>
              <w:bottom w:val="single" w:sz="4" w:space="0" w:color="auto"/>
              <w:right w:val="single" w:sz="4" w:space="0" w:color="auto"/>
            </w:tcBorders>
            <w:shd w:val="clear" w:color="000000" w:fill="FFFFFF"/>
            <w:noWrap/>
            <w:vAlign w:val="bottom"/>
            <w:hideMark/>
          </w:tcPr>
          <w:p w14:paraId="7C1D39BC"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£14,768</w:t>
            </w:r>
          </w:p>
        </w:tc>
        <w:tc>
          <w:tcPr>
            <w:tcW w:w="963" w:type="dxa"/>
            <w:tcBorders>
              <w:top w:val="nil"/>
              <w:left w:val="nil"/>
              <w:bottom w:val="single" w:sz="4" w:space="0" w:color="auto"/>
              <w:right w:val="single" w:sz="4" w:space="0" w:color="auto"/>
            </w:tcBorders>
            <w:shd w:val="clear" w:color="000000" w:fill="FFFFFF"/>
            <w:noWrap/>
            <w:vAlign w:val="bottom"/>
            <w:hideMark/>
          </w:tcPr>
          <w:p w14:paraId="083CD73D" w14:textId="77777777" w:rsidR="00067BEB" w:rsidRPr="00067BEB" w:rsidRDefault="00067BEB" w:rsidP="00067BEB">
            <w:pPr>
              <w:widowControl/>
              <w:autoSpaceDE/>
              <w:autoSpaceDN/>
              <w:jc w:val="right"/>
              <w:rPr>
                <w:rFonts w:ascii="Calibri" w:eastAsia="Times New Roman" w:hAnsi="Calibri" w:cs="Calibri"/>
                <w:color w:val="000000"/>
                <w:lang w:bidi="ar-SA"/>
              </w:rPr>
            </w:pPr>
            <w:r w:rsidRPr="00067BEB">
              <w:rPr>
                <w:rFonts w:ascii="Calibri" w:eastAsia="Times New Roman" w:hAnsi="Calibri" w:cs="Calibri"/>
                <w:color w:val="000000"/>
                <w:lang w:bidi="ar-SA"/>
              </w:rPr>
              <w:t>£24,628</w:t>
            </w:r>
          </w:p>
        </w:tc>
        <w:tc>
          <w:tcPr>
            <w:tcW w:w="943" w:type="dxa"/>
            <w:tcBorders>
              <w:top w:val="nil"/>
              <w:left w:val="nil"/>
              <w:bottom w:val="single" w:sz="4" w:space="0" w:color="auto"/>
              <w:right w:val="single" w:sz="4" w:space="0" w:color="auto"/>
            </w:tcBorders>
            <w:noWrap/>
            <w:vAlign w:val="bottom"/>
            <w:hideMark/>
          </w:tcPr>
          <w:p w14:paraId="2119EF0B"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-£6,110</w:t>
            </w:r>
          </w:p>
        </w:tc>
        <w:tc>
          <w:tcPr>
            <w:tcW w:w="824" w:type="dxa"/>
            <w:gridSpan w:val="2"/>
            <w:tcBorders>
              <w:top w:val="nil"/>
              <w:left w:val="nil"/>
              <w:bottom w:val="single" w:sz="4" w:space="0" w:color="auto"/>
              <w:right w:val="single" w:sz="4" w:space="0" w:color="auto"/>
            </w:tcBorders>
            <w:noWrap/>
            <w:vAlign w:val="bottom"/>
            <w:hideMark/>
          </w:tcPr>
          <w:p w14:paraId="7AF42F17"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-19.9%</w:t>
            </w:r>
          </w:p>
        </w:tc>
      </w:tr>
      <w:tr w:rsidR="00067BEB" w:rsidRPr="00067BEB" w14:paraId="6C3D5459" w14:textId="77777777" w:rsidTr="006D6AD2">
        <w:trPr>
          <w:trHeight w:val="290"/>
        </w:trPr>
        <w:tc>
          <w:tcPr>
            <w:tcW w:w="3624" w:type="dxa"/>
            <w:tcBorders>
              <w:top w:val="nil"/>
              <w:left w:val="single" w:sz="4" w:space="0" w:color="auto"/>
              <w:bottom w:val="single" w:sz="4" w:space="0" w:color="auto"/>
              <w:right w:val="single" w:sz="4" w:space="0" w:color="auto"/>
            </w:tcBorders>
            <w:shd w:val="clear" w:color="000000" w:fill="FFFFFF"/>
            <w:noWrap/>
            <w:vAlign w:val="bottom"/>
            <w:hideMark/>
          </w:tcPr>
          <w:p w14:paraId="43484720" w14:textId="77777777" w:rsidR="00067BEB" w:rsidRPr="00067BEB" w:rsidRDefault="00067BEB" w:rsidP="00067BEB">
            <w:pPr>
              <w:widowControl/>
              <w:autoSpaceDE/>
              <w:autoSpaceDN/>
              <w:rPr>
                <w:rFonts w:ascii="Calibri" w:eastAsia="Times New Roman" w:hAnsi="Calibri" w:cs="Calibri"/>
                <w:b/>
                <w:bCs/>
                <w:color w:val="000000"/>
                <w:lang w:bidi="ar-SA"/>
              </w:rPr>
            </w:pPr>
            <w:r w:rsidRPr="00067BEB">
              <w:rPr>
                <w:rFonts w:ascii="Calibri" w:eastAsia="Times New Roman" w:hAnsi="Calibri" w:cs="Calibri"/>
                <w:b/>
                <w:bCs/>
                <w:color w:val="000000"/>
                <w:lang w:bidi="ar-SA"/>
              </w:rPr>
              <w:t>Total Costs</w:t>
            </w:r>
          </w:p>
        </w:tc>
        <w:tc>
          <w:tcPr>
            <w:tcW w:w="963" w:type="dxa"/>
            <w:tcBorders>
              <w:top w:val="nil"/>
              <w:left w:val="nil"/>
              <w:bottom w:val="single" w:sz="4" w:space="0" w:color="auto"/>
              <w:right w:val="single" w:sz="4" w:space="0" w:color="auto"/>
            </w:tcBorders>
            <w:shd w:val="clear" w:color="000000" w:fill="FFFFFF"/>
            <w:noWrap/>
            <w:vAlign w:val="bottom"/>
            <w:hideMark/>
          </w:tcPr>
          <w:p w14:paraId="46DD78EE" w14:textId="77777777" w:rsidR="00067BEB" w:rsidRPr="00067BEB" w:rsidRDefault="00067BEB" w:rsidP="00067BEB">
            <w:pPr>
              <w:widowControl/>
              <w:autoSpaceDE/>
              <w:autoSpaceDN/>
              <w:jc w:val="right"/>
              <w:rPr>
                <w:rFonts w:ascii="Calibri" w:eastAsia="Times New Roman" w:hAnsi="Calibri" w:cs="Calibri"/>
                <w:b/>
                <w:bCs/>
                <w:color w:val="000000"/>
                <w:lang w:bidi="ar-SA"/>
              </w:rPr>
            </w:pPr>
            <w:r w:rsidRPr="00067BEB">
              <w:rPr>
                <w:rFonts w:ascii="Calibri" w:eastAsia="Times New Roman" w:hAnsi="Calibri" w:cs="Calibri"/>
                <w:b/>
                <w:bCs/>
                <w:color w:val="000000"/>
                <w:lang w:bidi="ar-SA"/>
              </w:rPr>
              <w:t>£54,503</w:t>
            </w:r>
          </w:p>
        </w:tc>
        <w:tc>
          <w:tcPr>
            <w:tcW w:w="963" w:type="dxa"/>
            <w:tcBorders>
              <w:top w:val="nil"/>
              <w:left w:val="nil"/>
              <w:bottom w:val="single" w:sz="4" w:space="0" w:color="auto"/>
              <w:right w:val="single" w:sz="4" w:space="0" w:color="auto"/>
            </w:tcBorders>
            <w:shd w:val="clear" w:color="000000" w:fill="FFFFFF"/>
            <w:noWrap/>
            <w:vAlign w:val="bottom"/>
            <w:hideMark/>
          </w:tcPr>
          <w:p w14:paraId="3975284A" w14:textId="77777777" w:rsidR="00067BEB" w:rsidRPr="00067BEB" w:rsidRDefault="00067BEB" w:rsidP="00067BEB">
            <w:pPr>
              <w:widowControl/>
              <w:autoSpaceDE/>
              <w:autoSpaceDN/>
              <w:jc w:val="right"/>
              <w:rPr>
                <w:rFonts w:ascii="Calibri" w:eastAsia="Times New Roman" w:hAnsi="Calibri" w:cs="Calibri"/>
                <w:b/>
                <w:bCs/>
                <w:color w:val="000000"/>
                <w:lang w:bidi="ar-SA"/>
              </w:rPr>
            </w:pPr>
            <w:r w:rsidRPr="00067BEB">
              <w:rPr>
                <w:rFonts w:ascii="Calibri" w:eastAsia="Times New Roman" w:hAnsi="Calibri" w:cs="Calibri"/>
                <w:b/>
                <w:bCs/>
                <w:color w:val="000000"/>
                <w:lang w:bidi="ar-SA"/>
              </w:rPr>
              <w:t>£41,780</w:t>
            </w:r>
          </w:p>
        </w:tc>
        <w:tc>
          <w:tcPr>
            <w:tcW w:w="963" w:type="dxa"/>
            <w:tcBorders>
              <w:top w:val="nil"/>
              <w:left w:val="nil"/>
              <w:bottom w:val="single" w:sz="4" w:space="0" w:color="auto"/>
              <w:right w:val="single" w:sz="4" w:space="0" w:color="auto"/>
            </w:tcBorders>
            <w:shd w:val="clear" w:color="000000" w:fill="FFFFFF"/>
            <w:noWrap/>
            <w:vAlign w:val="bottom"/>
            <w:hideMark/>
          </w:tcPr>
          <w:p w14:paraId="5E9772F3" w14:textId="77777777" w:rsidR="00067BEB" w:rsidRPr="00067BEB" w:rsidRDefault="00067BEB" w:rsidP="00067BEB">
            <w:pPr>
              <w:widowControl/>
              <w:autoSpaceDE/>
              <w:autoSpaceDN/>
              <w:jc w:val="right"/>
              <w:rPr>
                <w:rFonts w:ascii="Calibri" w:eastAsia="Times New Roman" w:hAnsi="Calibri" w:cs="Calibri"/>
                <w:b/>
                <w:bCs/>
                <w:color w:val="000000"/>
                <w:lang w:bidi="ar-SA"/>
              </w:rPr>
            </w:pPr>
            <w:r w:rsidRPr="00067BEB">
              <w:rPr>
                <w:rFonts w:ascii="Calibri" w:eastAsia="Times New Roman" w:hAnsi="Calibri" w:cs="Calibri"/>
                <w:b/>
                <w:bCs/>
                <w:color w:val="000000"/>
                <w:lang w:bidi="ar-SA"/>
              </w:rPr>
              <w:t>£37,320</w:t>
            </w:r>
          </w:p>
        </w:tc>
        <w:tc>
          <w:tcPr>
            <w:tcW w:w="963" w:type="dxa"/>
            <w:tcBorders>
              <w:top w:val="nil"/>
              <w:left w:val="nil"/>
              <w:bottom w:val="single" w:sz="4" w:space="0" w:color="auto"/>
              <w:right w:val="single" w:sz="4" w:space="0" w:color="auto"/>
            </w:tcBorders>
            <w:shd w:val="clear" w:color="000000" w:fill="FFFFFF"/>
            <w:noWrap/>
            <w:vAlign w:val="bottom"/>
            <w:hideMark/>
          </w:tcPr>
          <w:p w14:paraId="7321CCD6" w14:textId="77777777" w:rsidR="00067BEB" w:rsidRPr="00067BEB" w:rsidRDefault="00067BEB" w:rsidP="00067BEB">
            <w:pPr>
              <w:widowControl/>
              <w:autoSpaceDE/>
              <w:autoSpaceDN/>
              <w:jc w:val="right"/>
              <w:rPr>
                <w:rFonts w:ascii="Calibri" w:eastAsia="Times New Roman" w:hAnsi="Calibri" w:cs="Calibri"/>
                <w:b/>
                <w:bCs/>
                <w:color w:val="000000"/>
                <w:lang w:bidi="ar-SA"/>
              </w:rPr>
            </w:pPr>
            <w:r w:rsidRPr="00067BEB">
              <w:rPr>
                <w:rFonts w:ascii="Calibri" w:eastAsia="Times New Roman" w:hAnsi="Calibri" w:cs="Calibri"/>
                <w:b/>
                <w:bCs/>
                <w:color w:val="000000"/>
                <w:lang w:bidi="ar-SA"/>
              </w:rPr>
              <w:t>£48,582</w:t>
            </w:r>
          </w:p>
        </w:tc>
        <w:tc>
          <w:tcPr>
            <w:tcW w:w="963" w:type="dxa"/>
            <w:tcBorders>
              <w:top w:val="nil"/>
              <w:left w:val="nil"/>
              <w:bottom w:val="single" w:sz="4" w:space="0" w:color="auto"/>
              <w:right w:val="single" w:sz="4" w:space="0" w:color="auto"/>
            </w:tcBorders>
            <w:shd w:val="clear" w:color="000000" w:fill="FFFFFF"/>
            <w:noWrap/>
            <w:vAlign w:val="bottom"/>
            <w:hideMark/>
          </w:tcPr>
          <w:p w14:paraId="72BC118B" w14:textId="77777777" w:rsidR="00067BEB" w:rsidRPr="00067BEB" w:rsidRDefault="00067BEB" w:rsidP="00067BEB">
            <w:pPr>
              <w:widowControl/>
              <w:autoSpaceDE/>
              <w:autoSpaceDN/>
              <w:jc w:val="right"/>
              <w:rPr>
                <w:rFonts w:ascii="Calibri" w:eastAsia="Times New Roman" w:hAnsi="Calibri" w:cs="Calibri"/>
                <w:b/>
                <w:bCs/>
                <w:color w:val="000000"/>
                <w:lang w:bidi="ar-SA"/>
              </w:rPr>
            </w:pPr>
            <w:r w:rsidRPr="00067BEB">
              <w:rPr>
                <w:rFonts w:ascii="Calibri" w:eastAsia="Times New Roman" w:hAnsi="Calibri" w:cs="Calibri"/>
                <w:b/>
                <w:bCs/>
                <w:color w:val="000000"/>
                <w:lang w:bidi="ar-SA"/>
              </w:rPr>
              <w:t>£60,247</w:t>
            </w:r>
          </w:p>
        </w:tc>
        <w:tc>
          <w:tcPr>
            <w:tcW w:w="943" w:type="dxa"/>
            <w:tcBorders>
              <w:top w:val="nil"/>
              <w:left w:val="nil"/>
              <w:bottom w:val="single" w:sz="4" w:space="0" w:color="auto"/>
              <w:right w:val="single" w:sz="4" w:space="0" w:color="auto"/>
            </w:tcBorders>
            <w:noWrap/>
            <w:vAlign w:val="bottom"/>
            <w:hideMark/>
          </w:tcPr>
          <w:p w14:paraId="33F9FF9A"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£5,744</w:t>
            </w:r>
          </w:p>
        </w:tc>
        <w:tc>
          <w:tcPr>
            <w:tcW w:w="824" w:type="dxa"/>
            <w:gridSpan w:val="2"/>
            <w:tcBorders>
              <w:top w:val="nil"/>
              <w:left w:val="nil"/>
              <w:bottom w:val="single" w:sz="4" w:space="0" w:color="auto"/>
              <w:right w:val="single" w:sz="4" w:space="0" w:color="auto"/>
            </w:tcBorders>
            <w:noWrap/>
            <w:vAlign w:val="bottom"/>
            <w:hideMark/>
          </w:tcPr>
          <w:p w14:paraId="18CF8566" w14:textId="77777777" w:rsidR="00067BEB" w:rsidRPr="00067BEB" w:rsidRDefault="00067BEB" w:rsidP="00067BEB">
            <w:pPr>
              <w:widowControl/>
              <w:autoSpaceDE/>
              <w:autoSpaceDN/>
              <w:jc w:val="right"/>
              <w:rPr>
                <w:rFonts w:ascii="Aptos Narrow" w:eastAsia="Times New Roman" w:hAnsi="Aptos Narrow" w:cs="Times New Roman"/>
                <w:color w:val="000000"/>
                <w:lang w:bidi="ar-SA"/>
              </w:rPr>
            </w:pPr>
            <w:r w:rsidRPr="00067BEB">
              <w:rPr>
                <w:rFonts w:ascii="Aptos Narrow" w:eastAsia="Times New Roman" w:hAnsi="Aptos Narrow" w:cs="Times New Roman"/>
                <w:color w:val="000000"/>
                <w:lang w:bidi="ar-SA"/>
              </w:rPr>
              <w:t>10.5%</w:t>
            </w:r>
          </w:p>
        </w:tc>
      </w:tr>
    </w:tbl>
    <w:p w14:paraId="47A2C336" w14:textId="30A7278F" w:rsidR="00945806" w:rsidRDefault="00945806" w:rsidP="00945806">
      <w:pPr>
        <w:pStyle w:val="BodyText"/>
        <w:spacing w:line="276" w:lineRule="auto"/>
        <w:ind w:left="140" w:right="1435"/>
        <w:jc w:val="both"/>
      </w:pPr>
    </w:p>
    <w:p w14:paraId="74338E50" w14:textId="08CC887E" w:rsidR="00945806" w:rsidRPr="00247D76" w:rsidRDefault="004E1CD0" w:rsidP="00247D76">
      <w:pPr>
        <w:pStyle w:val="BodyText"/>
        <w:ind w:firstLine="140"/>
        <w:rPr>
          <w:sz w:val="16"/>
          <w:szCs w:val="16"/>
        </w:rPr>
      </w:pPr>
      <w:r w:rsidRPr="00E4588E">
        <w:rPr>
          <w:sz w:val="16"/>
          <w:szCs w:val="16"/>
        </w:rPr>
        <w:t xml:space="preserve">Table </w:t>
      </w:r>
      <w:r w:rsidR="006C5043">
        <w:rPr>
          <w:sz w:val="16"/>
          <w:szCs w:val="16"/>
        </w:rPr>
        <w:t>5</w:t>
      </w:r>
      <w:r w:rsidR="00945806" w:rsidRPr="00E4588E">
        <w:rPr>
          <w:sz w:val="16"/>
          <w:szCs w:val="16"/>
        </w:rPr>
        <w:t xml:space="preserve">: – Prescription items and costs for Dementia and </w:t>
      </w:r>
      <w:r w:rsidR="00C55F49" w:rsidRPr="00E4588E">
        <w:rPr>
          <w:sz w:val="16"/>
          <w:szCs w:val="16"/>
        </w:rPr>
        <w:t>Alzheimer’s</w:t>
      </w:r>
      <w:r w:rsidR="00945806" w:rsidRPr="00E4588E">
        <w:rPr>
          <w:sz w:val="16"/>
          <w:szCs w:val="16"/>
        </w:rPr>
        <w:t xml:space="preserve"> drugs in Knowsley – Source: </w:t>
      </w:r>
      <w:r w:rsidR="00B07F36" w:rsidRPr="00E4588E">
        <w:rPr>
          <w:iCs/>
          <w:sz w:val="16"/>
          <w:szCs w:val="16"/>
        </w:rPr>
        <w:t>OpenPrescribing.net, Bennett Institute for Applied Data Science, University of Oxford, 202</w:t>
      </w:r>
      <w:r w:rsidR="00445170">
        <w:rPr>
          <w:iCs/>
          <w:sz w:val="16"/>
          <w:szCs w:val="16"/>
        </w:rPr>
        <w:t>5</w:t>
      </w:r>
    </w:p>
    <w:p w14:paraId="78E788D9" w14:textId="77777777" w:rsidR="00945806" w:rsidRDefault="00945806" w:rsidP="003C547F">
      <w:pPr>
        <w:pStyle w:val="BodyText"/>
      </w:pPr>
    </w:p>
    <w:p w14:paraId="6579DB59" w14:textId="2F4394AD" w:rsidR="006F4B41" w:rsidRPr="00D008B9" w:rsidRDefault="00BC3F4F" w:rsidP="006F4B41">
      <w:pPr>
        <w:pStyle w:val="Heading2"/>
        <w:spacing w:before="200"/>
        <w:jc w:val="both"/>
      </w:pPr>
      <w:bookmarkStart w:id="29" w:name="_Toc236218967"/>
      <w:r>
        <w:t>7</w:t>
      </w:r>
      <w:r w:rsidR="006F4B41" w:rsidRPr="00D008B9">
        <w:t>.</w:t>
      </w:r>
      <w:r w:rsidR="00B51D27">
        <w:t>16</w:t>
      </w:r>
      <w:r w:rsidR="006F4B41" w:rsidRPr="00D008B9">
        <w:tab/>
        <w:t>Mortality</w:t>
      </w:r>
      <w:r w:rsidR="00314786">
        <w:t xml:space="preserve"> (Deaths)</w:t>
      </w:r>
      <w:bookmarkEnd w:id="29"/>
    </w:p>
    <w:p w14:paraId="0EE0E28A" w14:textId="77777777" w:rsidR="006F4B41" w:rsidRDefault="006F4B41" w:rsidP="006F4B41">
      <w:pPr>
        <w:pStyle w:val="BodyText"/>
        <w:spacing w:before="1"/>
        <w:rPr>
          <w:b/>
          <w:sz w:val="21"/>
        </w:rPr>
      </w:pPr>
    </w:p>
    <w:p w14:paraId="645F8F9D" w14:textId="13359892" w:rsidR="006F4B41" w:rsidRPr="00A549BD" w:rsidRDefault="005855B7" w:rsidP="00073114">
      <w:pPr>
        <w:pStyle w:val="BodyText"/>
        <w:ind w:left="142" w:right="1435"/>
        <w:jc w:val="both"/>
      </w:pPr>
      <w:r>
        <w:t xml:space="preserve">Dementia is unlikely to be </w:t>
      </w:r>
      <w:r w:rsidR="00BC40B8">
        <w:t xml:space="preserve">registered as </w:t>
      </w:r>
      <w:r>
        <w:t xml:space="preserve">the direct cause of </w:t>
      </w:r>
      <w:r w:rsidR="00CF0583">
        <w:t>death</w:t>
      </w:r>
      <w:r w:rsidR="00E62EFC">
        <w:t xml:space="preserve">.  </w:t>
      </w:r>
      <w:r w:rsidR="00BC3C65">
        <w:t xml:space="preserve">The direct cause </w:t>
      </w:r>
      <w:r w:rsidR="00BA7BEF">
        <w:t xml:space="preserve">are </w:t>
      </w:r>
      <w:r w:rsidR="006935B2">
        <w:t>often</w:t>
      </w:r>
      <w:r w:rsidR="006F4B41" w:rsidRPr="00A549BD">
        <w:t xml:space="preserve"> pneumonia, cardiovascular disease and pulmonary embolus</w:t>
      </w:r>
      <w:r w:rsidR="00D0631C">
        <w:t xml:space="preserve"> but dementia </w:t>
      </w:r>
      <w:r w:rsidR="000347BB">
        <w:t xml:space="preserve">is </w:t>
      </w:r>
      <w:r w:rsidR="000347BB" w:rsidRPr="00A549BD">
        <w:t>considered</w:t>
      </w:r>
      <w:r w:rsidR="001E6DF3">
        <w:t xml:space="preserve"> a significant underlying cause.  </w:t>
      </w:r>
    </w:p>
    <w:p w14:paraId="6BE3372A" w14:textId="4CBD86BC" w:rsidR="006F4B41" w:rsidRPr="00A549BD" w:rsidRDefault="006F4B41" w:rsidP="0023222A">
      <w:pPr>
        <w:pStyle w:val="BodyText"/>
        <w:spacing w:before="200"/>
        <w:ind w:left="142" w:right="1435"/>
        <w:jc w:val="both"/>
        <w:rPr>
          <w:rFonts w:ascii="Calibri" w:hAnsi="Calibri"/>
        </w:rPr>
      </w:pPr>
      <w:r w:rsidRPr="00A549BD">
        <w:t xml:space="preserve">A study on </w:t>
      </w:r>
      <w:r w:rsidR="003875C6">
        <w:t xml:space="preserve">the </w:t>
      </w:r>
      <w:r w:rsidRPr="00A549BD">
        <w:t>influence of type of dementia on mortality reported that the risk ratio was</w:t>
      </w:r>
      <w:r w:rsidR="003875C6">
        <w:t xml:space="preserve"> </w:t>
      </w:r>
      <w:r w:rsidRPr="00A549BD">
        <w:t xml:space="preserve">2.0 (95% confidence interval 1.5–2.7) </w:t>
      </w:r>
      <w:r w:rsidR="00994944" w:rsidRPr="00A549BD">
        <w:t xml:space="preserve">for Alzheimer's disease and 3.3 </w:t>
      </w:r>
      <w:r w:rsidRPr="00A549BD">
        <w:t xml:space="preserve">(95%    </w:t>
      </w:r>
      <w:r w:rsidRPr="00A549BD">
        <w:lastRenderedPageBreak/>
        <w:t>confidence interval 2.0–5.3) for vascular dementia. The gender, age, pre-morbid physical conditions, severity of dementia and institutional accommodation seem to have a strong influence on the mortality pattern among patients with</w:t>
      </w:r>
      <w:r w:rsidRPr="00A549BD">
        <w:rPr>
          <w:spacing w:val="-16"/>
        </w:rPr>
        <w:t xml:space="preserve"> </w:t>
      </w:r>
      <w:r w:rsidRPr="00A549BD">
        <w:t>dementia</w:t>
      </w:r>
      <w:r w:rsidRPr="00A549BD">
        <w:rPr>
          <w:rFonts w:ascii="Calibri" w:hAnsi="Calibri"/>
        </w:rPr>
        <w:t>.</w:t>
      </w:r>
    </w:p>
    <w:p w14:paraId="06C82BCA" w14:textId="19FFA654" w:rsidR="006F4B41" w:rsidRPr="00A549BD" w:rsidRDefault="006F4B41" w:rsidP="00073114">
      <w:pPr>
        <w:pStyle w:val="BodyText"/>
        <w:spacing w:before="201"/>
        <w:ind w:left="142" w:right="1435"/>
        <w:jc w:val="both"/>
      </w:pPr>
      <w:r w:rsidRPr="00A549BD">
        <w:t xml:space="preserve">Within the first year of </w:t>
      </w:r>
      <w:r w:rsidR="00267AB9">
        <w:t xml:space="preserve">dementia diagnosis </w:t>
      </w:r>
      <w:r w:rsidRPr="00A549BD">
        <w:t>in a primary care setting, patients have adjusted mortality rates more than 3 times higher than those without dementia, a rate much higher than in populations actively screened for this condition, according to a comparison cohort study from England.</w:t>
      </w:r>
    </w:p>
    <w:p w14:paraId="48449CA7" w14:textId="77777777" w:rsidR="006F4B41" w:rsidRPr="00A549BD" w:rsidRDefault="006F4B41" w:rsidP="00073114">
      <w:pPr>
        <w:pStyle w:val="BodyText"/>
        <w:spacing w:before="199"/>
        <w:ind w:left="142" w:right="1435"/>
        <w:jc w:val="both"/>
      </w:pPr>
      <w:r w:rsidRPr="00A549BD">
        <w:t>Among people with dementia, men, older people, and those with pre-existing comorbid conditions have decreased life expectancy and survival, which is often dependent on timely diagnosis and treatment.</w:t>
      </w:r>
    </w:p>
    <w:p w14:paraId="0B3A9C52" w14:textId="457C627A" w:rsidR="006F4B41" w:rsidRPr="009063D6" w:rsidRDefault="008134E6" w:rsidP="00073114">
      <w:pPr>
        <w:pStyle w:val="BodyText"/>
        <w:spacing w:before="199"/>
        <w:ind w:left="142" w:right="1435"/>
        <w:jc w:val="both"/>
      </w:pPr>
      <w:r w:rsidRPr="00A549BD">
        <w:t>The proportion</w:t>
      </w:r>
      <w:r w:rsidR="006F4B41" w:rsidRPr="00A549BD">
        <w:t xml:space="preserve"> of deaths whose underlying cause was </w:t>
      </w:r>
      <w:r w:rsidR="00DD7FEC">
        <w:t>D</w:t>
      </w:r>
      <w:r w:rsidR="006F4B41" w:rsidRPr="00A549BD">
        <w:t xml:space="preserve">ementia or </w:t>
      </w:r>
      <w:r w:rsidR="00372CFC">
        <w:t>A</w:t>
      </w:r>
      <w:r w:rsidR="00372CFC" w:rsidRPr="00A549BD">
        <w:t>lzheimer’s</w:t>
      </w:r>
      <w:r w:rsidR="006F4B41" w:rsidRPr="00A549BD">
        <w:t xml:space="preserve"> </w:t>
      </w:r>
      <w:r w:rsidR="00A65215" w:rsidRPr="00A549BD">
        <w:t>was increasing up until 2018.</w:t>
      </w:r>
      <w:r w:rsidRPr="00A549BD">
        <w:t xml:space="preserve"> (</w:t>
      </w:r>
      <w:r w:rsidR="006F4B41" w:rsidRPr="00A549BD">
        <w:t xml:space="preserve">Figure </w:t>
      </w:r>
      <w:r w:rsidR="00E93233" w:rsidRPr="00A549BD">
        <w:t>8</w:t>
      </w:r>
      <w:r w:rsidRPr="00A549BD">
        <w:t>)</w:t>
      </w:r>
      <w:r w:rsidR="006F4B41" w:rsidRPr="00A549BD">
        <w:t>. In the most recent year (20</w:t>
      </w:r>
      <w:r w:rsidR="00E93233" w:rsidRPr="00A549BD">
        <w:t>2</w:t>
      </w:r>
      <w:r w:rsidR="00D31B02" w:rsidRPr="00A549BD">
        <w:t>3</w:t>
      </w:r>
      <w:r w:rsidR="006F4B41" w:rsidRPr="00A549BD">
        <w:t xml:space="preserve">), </w:t>
      </w:r>
      <w:r w:rsidR="00E93233" w:rsidRPr="00A549BD">
        <w:t>7.</w:t>
      </w:r>
      <w:r w:rsidR="00DD4FC1" w:rsidRPr="00A549BD">
        <w:t>8</w:t>
      </w:r>
      <w:r w:rsidR="006F4B41" w:rsidRPr="00A549BD">
        <w:t>% (1</w:t>
      </w:r>
      <w:r w:rsidR="00DD4FC1" w:rsidRPr="00A549BD">
        <w:t>28</w:t>
      </w:r>
      <w:r w:rsidR="006F4B41" w:rsidRPr="00A549BD">
        <w:t xml:space="preserve"> deaths) of all deaths of Knowsley residents had the underlying cause of Dementia or </w:t>
      </w:r>
      <w:r w:rsidR="00372CFC">
        <w:t>A</w:t>
      </w:r>
      <w:r w:rsidR="00372CFC" w:rsidRPr="00A549BD">
        <w:t>lzheimer’s</w:t>
      </w:r>
      <w:r w:rsidRPr="00A549BD">
        <w:t>;</w:t>
      </w:r>
      <w:r w:rsidR="006F4B41" w:rsidRPr="00A549BD">
        <w:t xml:space="preserve"> this is </w:t>
      </w:r>
      <w:r w:rsidR="003C75AD" w:rsidRPr="00A549BD">
        <w:t xml:space="preserve">less than in 2013 </w:t>
      </w:r>
      <w:r w:rsidR="006F4B41" w:rsidRPr="00A549BD">
        <w:t xml:space="preserve">where there was </w:t>
      </w:r>
      <w:r w:rsidR="003C75AD" w:rsidRPr="00A549BD">
        <w:t>11</w:t>
      </w:r>
      <w:r w:rsidR="006F4B41" w:rsidRPr="00A549BD">
        <w:t>.3% (</w:t>
      </w:r>
      <w:r w:rsidR="00640C9E" w:rsidRPr="00A549BD">
        <w:t>134</w:t>
      </w:r>
      <w:r w:rsidR="006F4B41" w:rsidRPr="00A549BD">
        <w:t xml:space="preserve"> deaths).</w:t>
      </w:r>
      <w:r w:rsidR="00640C9E" w:rsidRPr="00A549BD">
        <w:t xml:space="preserve"> There has been </w:t>
      </w:r>
      <w:r w:rsidR="00224547">
        <w:t xml:space="preserve">a </w:t>
      </w:r>
      <w:r w:rsidR="00672FDB">
        <w:t>significant</w:t>
      </w:r>
      <w:r w:rsidR="00672FDB" w:rsidRPr="00A549BD">
        <w:t xml:space="preserve"> </w:t>
      </w:r>
      <w:r w:rsidR="00640C9E" w:rsidRPr="00A549BD">
        <w:t xml:space="preserve">decrease in </w:t>
      </w:r>
      <w:r w:rsidR="001902FA" w:rsidRPr="00A549BD">
        <w:t>Dementia and Alzheimer’s deaths since 2020</w:t>
      </w:r>
      <w:r w:rsidR="000F6F42">
        <w:t xml:space="preserve">, which is likely due to the lasting impact of the </w:t>
      </w:r>
      <w:r w:rsidR="00E4414A" w:rsidRPr="00A549BD">
        <w:t>Covid-19 pandemic</w:t>
      </w:r>
      <w:r w:rsidR="00A1756C">
        <w:t>.</w:t>
      </w:r>
      <w:r w:rsidR="0044233D">
        <w:t xml:space="preserve"> </w:t>
      </w:r>
      <w:r w:rsidR="00206D86">
        <w:t>The pandemic resulted in high</w:t>
      </w:r>
      <w:r w:rsidR="005B207B">
        <w:t xml:space="preserve"> numbers </w:t>
      </w:r>
      <w:r w:rsidR="0023222A">
        <w:t xml:space="preserve">of </w:t>
      </w:r>
      <w:r w:rsidR="0023222A" w:rsidRPr="00A549BD">
        <w:t>people</w:t>
      </w:r>
      <w:r w:rsidR="004A31DF" w:rsidRPr="00A549BD">
        <w:t xml:space="preserve"> </w:t>
      </w:r>
      <w:r w:rsidR="000754FD" w:rsidRPr="00A549BD">
        <w:t>aged 80+ d</w:t>
      </w:r>
      <w:r w:rsidR="005B207B">
        <w:t>ying</w:t>
      </w:r>
      <w:r w:rsidR="000754FD" w:rsidRPr="00A549BD">
        <w:t xml:space="preserve"> </w:t>
      </w:r>
      <w:r w:rsidR="005B207B">
        <w:t>from</w:t>
      </w:r>
      <w:r w:rsidR="000754FD" w:rsidRPr="00A549BD">
        <w:t xml:space="preserve"> Covid-19</w:t>
      </w:r>
      <w:r w:rsidR="00270141">
        <w:t xml:space="preserve"> </w:t>
      </w:r>
      <w:r w:rsidR="00001134" w:rsidRPr="00A549BD">
        <w:t xml:space="preserve">which would </w:t>
      </w:r>
      <w:r w:rsidR="0023222A" w:rsidRPr="00A549BD">
        <w:t>have</w:t>
      </w:r>
      <w:r w:rsidR="00001134" w:rsidRPr="00A549BD">
        <w:t xml:space="preserve"> otherwise</w:t>
      </w:r>
      <w:r w:rsidR="00DA439F" w:rsidRPr="00A549BD">
        <w:t xml:space="preserve"> </w:t>
      </w:r>
      <w:r w:rsidR="003B2C16">
        <w:t>most likely</w:t>
      </w:r>
      <w:r w:rsidR="003B2C16" w:rsidRPr="00A549BD">
        <w:t xml:space="preserve"> </w:t>
      </w:r>
      <w:r w:rsidR="00DA439F" w:rsidRPr="00A549BD">
        <w:t xml:space="preserve">died </w:t>
      </w:r>
      <w:r w:rsidR="00FB430A">
        <w:t xml:space="preserve">at a later age </w:t>
      </w:r>
      <w:r w:rsidR="00DA439F" w:rsidRPr="00A549BD">
        <w:t xml:space="preserve">of Dementia or </w:t>
      </w:r>
      <w:r w:rsidR="00684953" w:rsidRPr="00A549BD">
        <w:t>Alzheimer’s</w:t>
      </w:r>
      <w:r w:rsidR="00DA439F" w:rsidRPr="00A549BD">
        <w:t>.</w:t>
      </w:r>
      <w:r w:rsidR="00DA439F">
        <w:t xml:space="preserve"> </w:t>
      </w:r>
    </w:p>
    <w:p w14:paraId="628BAD9C" w14:textId="77777777" w:rsidR="006F4B41" w:rsidRDefault="006F4B41" w:rsidP="006F4B41">
      <w:pPr>
        <w:pStyle w:val="BodyText"/>
        <w:rPr>
          <w:sz w:val="20"/>
        </w:rPr>
      </w:pPr>
    </w:p>
    <w:p w14:paraId="23901FE0" w14:textId="69E02ADB" w:rsidR="006F4B41" w:rsidRPr="00F0080F" w:rsidRDefault="00D31B02" w:rsidP="006F4B41">
      <w:pPr>
        <w:pStyle w:val="BodyText"/>
        <w:ind w:firstLine="720"/>
        <w:rPr>
          <w:sz w:val="20"/>
        </w:rPr>
      </w:pPr>
      <w:r>
        <w:rPr>
          <w:noProof/>
        </w:rPr>
        <w:drawing>
          <wp:inline distT="0" distB="0" distL="0" distR="0" wp14:anchorId="57D9140F" wp14:editId="125B083D">
            <wp:extent cx="4572000" cy="2743200"/>
            <wp:effectExtent l="0" t="0" r="0" b="0"/>
            <wp:docPr id="62063797" name="Chart 1">
              <a:extLst xmlns:a="http://schemas.openxmlformats.org/drawingml/2006/main">
                <a:ext uri="{FF2B5EF4-FFF2-40B4-BE49-F238E27FC236}">
                  <a16:creationId xmlns:a16="http://schemas.microsoft.com/office/drawing/2014/main" id="{532F5274-4CA2-8259-2212-E19FE62D9A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B23A4EC" w14:textId="015B0DC3" w:rsidR="006F4B41" w:rsidRPr="00334DF7" w:rsidRDefault="004E1CD0" w:rsidP="002C1107">
      <w:pPr>
        <w:spacing w:before="94"/>
        <w:ind w:left="142" w:right="1435"/>
        <w:rPr>
          <w:i/>
          <w:sz w:val="18"/>
        </w:rPr>
      </w:pPr>
      <w:r>
        <w:rPr>
          <w:i/>
          <w:sz w:val="18"/>
        </w:rPr>
        <w:t xml:space="preserve">Figure </w:t>
      </w:r>
      <w:r w:rsidR="00E93233">
        <w:rPr>
          <w:i/>
          <w:sz w:val="18"/>
        </w:rPr>
        <w:t>8</w:t>
      </w:r>
      <w:r w:rsidR="006F4B41" w:rsidRPr="00334DF7">
        <w:rPr>
          <w:i/>
          <w:sz w:val="18"/>
        </w:rPr>
        <w:t xml:space="preserve">: Mortality where Dementia </w:t>
      </w:r>
      <w:r w:rsidR="00C55F49">
        <w:rPr>
          <w:i/>
          <w:sz w:val="18"/>
        </w:rPr>
        <w:t xml:space="preserve">and Alzheimer’s </w:t>
      </w:r>
      <w:r w:rsidR="007E50F9">
        <w:rPr>
          <w:i/>
          <w:sz w:val="18"/>
        </w:rPr>
        <w:t>are</w:t>
      </w:r>
      <w:r w:rsidR="006F4B41">
        <w:rPr>
          <w:i/>
          <w:sz w:val="18"/>
        </w:rPr>
        <w:t xml:space="preserve"> an underlying cause by year </w:t>
      </w:r>
      <w:r w:rsidR="006F4B41" w:rsidRPr="00334DF7">
        <w:rPr>
          <w:i/>
          <w:sz w:val="18"/>
        </w:rPr>
        <w:t>– Source</w:t>
      </w:r>
      <w:r w:rsidR="00ED4AB6">
        <w:rPr>
          <w:i/>
          <w:sz w:val="18"/>
        </w:rPr>
        <w:t>:</w:t>
      </w:r>
      <w:r w:rsidR="006F4B41" w:rsidRPr="00334DF7">
        <w:rPr>
          <w:i/>
          <w:sz w:val="18"/>
        </w:rPr>
        <w:t xml:space="preserve"> Primary care Mortality database</w:t>
      </w:r>
    </w:p>
    <w:p w14:paraId="517AD5B0" w14:textId="77777777" w:rsidR="006F4B41" w:rsidRPr="00334DF7" w:rsidRDefault="006F4B41" w:rsidP="002C1107">
      <w:pPr>
        <w:spacing w:before="94"/>
        <w:ind w:left="142" w:right="1435"/>
        <w:rPr>
          <w:i/>
          <w:sz w:val="18"/>
        </w:rPr>
      </w:pPr>
    </w:p>
    <w:p w14:paraId="7064A6C3" w14:textId="434756A3" w:rsidR="006F4B41" w:rsidRPr="00D008B9" w:rsidRDefault="00BC3F4F" w:rsidP="002C1107">
      <w:pPr>
        <w:pStyle w:val="Heading2"/>
        <w:ind w:left="142" w:right="1435"/>
      </w:pPr>
      <w:bookmarkStart w:id="30" w:name="_Toc236218968"/>
      <w:r>
        <w:t>7</w:t>
      </w:r>
      <w:r w:rsidR="006F4B41" w:rsidRPr="00D008B9">
        <w:t>.</w:t>
      </w:r>
      <w:r w:rsidR="00B51D27">
        <w:t>17</w:t>
      </w:r>
      <w:r w:rsidR="006F4B41" w:rsidRPr="00D008B9">
        <w:tab/>
        <w:t>Place of death of people with Dementia aged 65+</w:t>
      </w:r>
      <w:bookmarkEnd w:id="30"/>
    </w:p>
    <w:p w14:paraId="605E8145" w14:textId="77777777" w:rsidR="006F4B41" w:rsidRPr="00334DF7" w:rsidRDefault="006F4B41" w:rsidP="002C1107">
      <w:pPr>
        <w:pStyle w:val="BodyText"/>
        <w:spacing w:line="276" w:lineRule="auto"/>
        <w:ind w:left="142" w:right="1435"/>
        <w:jc w:val="both"/>
        <w:rPr>
          <w:i/>
        </w:rPr>
      </w:pPr>
    </w:p>
    <w:p w14:paraId="24922CC7" w14:textId="6610AACF" w:rsidR="006F4B41" w:rsidRDefault="006F4B41" w:rsidP="002C1107">
      <w:pPr>
        <w:pStyle w:val="BodyText"/>
        <w:ind w:left="142" w:right="1435"/>
        <w:jc w:val="both"/>
      </w:pPr>
      <w:r w:rsidRPr="0065360C">
        <w:t xml:space="preserve">The most common place of death in Knowsley of patients with Dementia aged 65+ was in a </w:t>
      </w:r>
      <w:r w:rsidR="00441BD8" w:rsidRPr="0065360C">
        <w:t xml:space="preserve">hospital </w:t>
      </w:r>
      <w:r w:rsidRPr="0065360C">
        <w:t>(</w:t>
      </w:r>
      <w:r w:rsidR="00441BD8" w:rsidRPr="0065360C">
        <w:t>42.1</w:t>
      </w:r>
      <w:r w:rsidRPr="0065360C">
        <w:t>% in 20</w:t>
      </w:r>
      <w:r w:rsidR="00441BD8" w:rsidRPr="0065360C">
        <w:t>23</w:t>
      </w:r>
      <w:r w:rsidRPr="0065360C">
        <w:t>)</w:t>
      </w:r>
      <w:r w:rsidR="00930709" w:rsidRPr="0065360C">
        <w:t xml:space="preserve">, this is </w:t>
      </w:r>
      <w:r w:rsidR="00BF4167" w:rsidRPr="0065360C">
        <w:t xml:space="preserve">higher than </w:t>
      </w:r>
      <w:r w:rsidR="001031B5">
        <w:t xml:space="preserve">the </w:t>
      </w:r>
      <w:r w:rsidR="00930709" w:rsidRPr="0065360C">
        <w:t xml:space="preserve">North West </w:t>
      </w:r>
      <w:r w:rsidR="007C4F34" w:rsidRPr="0065360C">
        <w:t>(</w:t>
      </w:r>
      <w:r w:rsidR="006719FC" w:rsidRPr="0065360C">
        <w:t>28.5</w:t>
      </w:r>
      <w:r w:rsidR="007C4F34" w:rsidRPr="0065360C">
        <w:t xml:space="preserve">%) </w:t>
      </w:r>
      <w:r w:rsidR="00930709" w:rsidRPr="0065360C">
        <w:t xml:space="preserve">and England </w:t>
      </w:r>
      <w:r w:rsidR="000D085B" w:rsidRPr="0065360C">
        <w:t>(</w:t>
      </w:r>
      <w:r w:rsidR="006719FC" w:rsidRPr="0065360C">
        <w:t>26</w:t>
      </w:r>
      <w:r w:rsidR="000D085B" w:rsidRPr="0065360C">
        <w:t>.</w:t>
      </w:r>
      <w:r w:rsidR="006719FC" w:rsidRPr="0065360C">
        <w:t>3</w:t>
      </w:r>
      <w:r w:rsidR="000D085B" w:rsidRPr="0065360C">
        <w:t xml:space="preserve">%).  The second most common </w:t>
      </w:r>
      <w:r w:rsidR="004F79D9" w:rsidRPr="0065360C">
        <w:t xml:space="preserve">place </w:t>
      </w:r>
      <w:r w:rsidR="006719FC" w:rsidRPr="0065360C">
        <w:t>in Knowsley</w:t>
      </w:r>
      <w:r w:rsidRPr="0065360C">
        <w:t xml:space="preserve"> </w:t>
      </w:r>
      <w:r w:rsidR="004F79D9" w:rsidRPr="0065360C">
        <w:t>is</w:t>
      </w:r>
      <w:r w:rsidR="009B0DA0" w:rsidRPr="0065360C">
        <w:t xml:space="preserve"> </w:t>
      </w:r>
      <w:r w:rsidR="00193D91" w:rsidRPr="0065360C">
        <w:t>care home</w:t>
      </w:r>
      <w:r w:rsidR="001031B5">
        <w:t>s</w:t>
      </w:r>
      <w:r w:rsidRPr="0065360C">
        <w:t xml:space="preserve"> (3</w:t>
      </w:r>
      <w:r w:rsidR="00193D91" w:rsidRPr="0065360C">
        <w:t>6</w:t>
      </w:r>
      <w:r w:rsidRPr="0065360C">
        <w:t>.</w:t>
      </w:r>
      <w:r w:rsidR="00193D91" w:rsidRPr="0065360C">
        <w:t>8</w:t>
      </w:r>
      <w:r w:rsidRPr="0065360C">
        <w:t>% in 20</w:t>
      </w:r>
      <w:r w:rsidR="00193D91" w:rsidRPr="0065360C">
        <w:t>23</w:t>
      </w:r>
      <w:r w:rsidRPr="0065360C">
        <w:t>)</w:t>
      </w:r>
      <w:r w:rsidR="009B0DA0" w:rsidRPr="0065360C">
        <w:t xml:space="preserve">, this is </w:t>
      </w:r>
      <w:r w:rsidR="00952D7F" w:rsidRPr="0065360C">
        <w:t>lower than</w:t>
      </w:r>
      <w:r w:rsidR="009B0DA0" w:rsidRPr="0065360C">
        <w:t xml:space="preserve"> </w:t>
      </w:r>
      <w:r w:rsidR="001031B5">
        <w:t>the</w:t>
      </w:r>
      <w:r w:rsidR="009B0DA0" w:rsidRPr="0065360C">
        <w:t xml:space="preserve"> North West (</w:t>
      </w:r>
      <w:r w:rsidR="00347A0A" w:rsidRPr="0065360C">
        <w:t>55</w:t>
      </w:r>
      <w:r w:rsidR="00270C3B" w:rsidRPr="0065360C">
        <w:t>.</w:t>
      </w:r>
      <w:r w:rsidR="00347A0A" w:rsidRPr="0065360C">
        <w:t>9</w:t>
      </w:r>
      <w:r w:rsidR="009B0DA0" w:rsidRPr="0065360C">
        <w:t>%) and England (</w:t>
      </w:r>
      <w:r w:rsidR="00952D7F" w:rsidRPr="0065360C">
        <w:t>56</w:t>
      </w:r>
      <w:r w:rsidR="00270C3B" w:rsidRPr="0065360C">
        <w:t>.</w:t>
      </w:r>
      <w:r w:rsidR="00952D7F" w:rsidRPr="0065360C">
        <w:t>4</w:t>
      </w:r>
      <w:r w:rsidR="009B0DA0" w:rsidRPr="0065360C">
        <w:t>%).</w:t>
      </w:r>
    </w:p>
    <w:p w14:paraId="16CC99AC" w14:textId="77777777" w:rsidR="006F4B41" w:rsidRDefault="006F4B41" w:rsidP="003C547F">
      <w:pPr>
        <w:pStyle w:val="BodyText"/>
      </w:pPr>
    </w:p>
    <w:p w14:paraId="42302AFC" w14:textId="51F64054" w:rsidR="006F4B41" w:rsidRDefault="00BC5ACA" w:rsidP="0065360C">
      <w:pPr>
        <w:pStyle w:val="BodyText"/>
      </w:pPr>
      <w:r>
        <w:rPr>
          <w:noProof/>
        </w:rPr>
        <w:lastRenderedPageBreak/>
        <w:drawing>
          <wp:inline distT="0" distB="0" distL="0" distR="0" wp14:anchorId="6F0EB1C7" wp14:editId="577507B7">
            <wp:extent cx="5151120" cy="2652395"/>
            <wp:effectExtent l="0" t="0" r="0" b="0"/>
            <wp:docPr id="350944103" name="Chart 1">
              <a:extLst xmlns:a="http://schemas.openxmlformats.org/drawingml/2006/main">
                <a:ext uri="{FF2B5EF4-FFF2-40B4-BE49-F238E27FC236}">
                  <a16:creationId xmlns:a16="http://schemas.microsoft.com/office/drawing/2014/main" id="{95558E03-6FEF-11D2-5130-8BB6AC4AD1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CEDD4AC" w14:textId="62B4B77F" w:rsidR="00137BC7" w:rsidRDefault="006F4B41" w:rsidP="008134E6">
      <w:pPr>
        <w:ind w:firstLine="720"/>
        <w:jc w:val="both"/>
        <w:rPr>
          <w:i/>
          <w:sz w:val="18"/>
          <w:szCs w:val="18"/>
        </w:rPr>
      </w:pPr>
      <w:r w:rsidRPr="00827B43">
        <w:rPr>
          <w:i/>
          <w:sz w:val="18"/>
          <w:szCs w:val="18"/>
        </w:rPr>
        <w:t xml:space="preserve">Figure </w:t>
      </w:r>
      <w:r w:rsidR="000B17A2">
        <w:rPr>
          <w:i/>
          <w:sz w:val="18"/>
          <w:szCs w:val="18"/>
        </w:rPr>
        <w:t>9</w:t>
      </w:r>
      <w:r w:rsidRPr="0065178D">
        <w:rPr>
          <w:i/>
          <w:sz w:val="18"/>
          <w:szCs w:val="18"/>
        </w:rPr>
        <w:t>: Place of death of people with Dementia, aged 65+, 201</w:t>
      </w:r>
      <w:r w:rsidR="00AF2B0A">
        <w:rPr>
          <w:i/>
          <w:sz w:val="18"/>
          <w:szCs w:val="18"/>
        </w:rPr>
        <w:t>6</w:t>
      </w:r>
      <w:r w:rsidRPr="0065178D">
        <w:rPr>
          <w:i/>
          <w:sz w:val="18"/>
          <w:szCs w:val="18"/>
        </w:rPr>
        <w:t xml:space="preserve"> to 20</w:t>
      </w:r>
      <w:r w:rsidR="00BC5ACA">
        <w:rPr>
          <w:i/>
          <w:sz w:val="18"/>
          <w:szCs w:val="18"/>
        </w:rPr>
        <w:t>23</w:t>
      </w:r>
      <w:r w:rsidR="008134E6">
        <w:rPr>
          <w:i/>
          <w:sz w:val="18"/>
          <w:szCs w:val="18"/>
        </w:rPr>
        <w:t>, Source: ONS</w:t>
      </w:r>
    </w:p>
    <w:p w14:paraId="5B049D21" w14:textId="77777777" w:rsidR="00F921A0" w:rsidRDefault="00F921A0" w:rsidP="008134E6">
      <w:pPr>
        <w:ind w:firstLine="720"/>
        <w:jc w:val="both"/>
        <w:rPr>
          <w:i/>
          <w:sz w:val="18"/>
          <w:szCs w:val="18"/>
        </w:rPr>
      </w:pPr>
    </w:p>
    <w:p w14:paraId="50008944" w14:textId="77777777" w:rsidR="004661ED" w:rsidRPr="0065178D" w:rsidRDefault="004661ED" w:rsidP="008134E6">
      <w:pPr>
        <w:ind w:firstLine="720"/>
        <w:jc w:val="both"/>
        <w:rPr>
          <w:i/>
          <w:sz w:val="18"/>
          <w:szCs w:val="18"/>
        </w:rPr>
      </w:pPr>
    </w:p>
    <w:p w14:paraId="51B35269" w14:textId="26036E83" w:rsidR="004661ED" w:rsidRPr="00F307DE" w:rsidRDefault="00BC3F4F" w:rsidP="00F307DE">
      <w:pPr>
        <w:jc w:val="both"/>
        <w:rPr>
          <w:b/>
          <w:bCs/>
          <w:sz w:val="24"/>
          <w:szCs w:val="24"/>
        </w:rPr>
      </w:pPr>
      <w:r>
        <w:rPr>
          <w:b/>
          <w:bCs/>
          <w:sz w:val="24"/>
          <w:szCs w:val="24"/>
        </w:rPr>
        <w:t>7</w:t>
      </w:r>
      <w:r w:rsidR="004661ED">
        <w:rPr>
          <w:b/>
          <w:bCs/>
          <w:sz w:val="24"/>
          <w:szCs w:val="24"/>
        </w:rPr>
        <w:t>.1</w:t>
      </w:r>
      <w:r w:rsidR="00B51D27">
        <w:rPr>
          <w:b/>
          <w:bCs/>
          <w:sz w:val="24"/>
          <w:szCs w:val="24"/>
        </w:rPr>
        <w:t>8</w:t>
      </w:r>
      <w:r w:rsidR="004661ED" w:rsidRPr="004661ED">
        <w:rPr>
          <w:b/>
          <w:bCs/>
          <w:sz w:val="24"/>
          <w:szCs w:val="24"/>
        </w:rPr>
        <w:t xml:space="preserve"> </w:t>
      </w:r>
      <w:r w:rsidR="004661ED" w:rsidRPr="004661ED">
        <w:rPr>
          <w:b/>
          <w:bCs/>
          <w:sz w:val="24"/>
          <w:szCs w:val="24"/>
        </w:rPr>
        <w:tab/>
        <w:t>Excess Winter deaths</w:t>
      </w:r>
    </w:p>
    <w:p w14:paraId="6726A122" w14:textId="77777777" w:rsidR="004661ED" w:rsidRPr="00A6438F" w:rsidRDefault="004661ED" w:rsidP="004661ED">
      <w:pPr>
        <w:ind w:right="184"/>
        <w:jc w:val="both"/>
      </w:pPr>
    </w:p>
    <w:p w14:paraId="7C481021" w14:textId="77777777" w:rsidR="004661ED" w:rsidRPr="004E536C" w:rsidRDefault="004661ED" w:rsidP="002C1107">
      <w:pPr>
        <w:pStyle w:val="BodyText"/>
        <w:ind w:left="142" w:right="1446"/>
        <w:jc w:val="both"/>
      </w:pPr>
      <w:r w:rsidRPr="00A6438F">
        <w:t xml:space="preserve">Excess winter mortality (EWM) is defined as ‘the extra numbers of deaths during the winter months in relation to the other seasons of the year’ and is thought to be a direct consequence of the cold weather. The ONS method is used to calculate EWM and defines the winter period as December to March. The methodology compares winter deaths with the average of deaths occurring in the preceding August to November and the following April to July.  </w:t>
      </w:r>
    </w:p>
    <w:p w14:paraId="739FC256" w14:textId="77777777" w:rsidR="004661ED" w:rsidRPr="004E536C" w:rsidRDefault="004661ED" w:rsidP="002C1107">
      <w:pPr>
        <w:pStyle w:val="BodyText"/>
        <w:ind w:left="142" w:right="1446"/>
        <w:jc w:val="both"/>
      </w:pPr>
    </w:p>
    <w:p w14:paraId="52EF634A" w14:textId="4481F3CA" w:rsidR="004661ED" w:rsidRPr="00A6438F" w:rsidRDefault="004661ED" w:rsidP="002C1107">
      <w:pPr>
        <w:pStyle w:val="BodyText"/>
        <w:ind w:left="142" w:right="1446"/>
        <w:jc w:val="both"/>
      </w:pPr>
      <w:r w:rsidRPr="00A6438F">
        <w:t>Understanding seasonal changes in temperature are important</w:t>
      </w:r>
      <w:r w:rsidR="00087868">
        <w:t>,</w:t>
      </w:r>
      <w:r w:rsidRPr="00A6438F">
        <w:t xml:space="preserve"> especially in winter months so that additional </w:t>
      </w:r>
      <w:r w:rsidR="00D558C3">
        <w:t>support</w:t>
      </w:r>
      <w:r w:rsidR="00D558C3" w:rsidRPr="00A6438F">
        <w:t xml:space="preserve"> </w:t>
      </w:r>
      <w:r w:rsidRPr="00A6438F">
        <w:t>can be made available for those that are most at risk of these cold conditions. Population groups such as the elderly, children and those with long term conditions such as respiratory disease are particularly vulnerable during this period, especially those on lower incomes and those not living in energy efficient housing. A recent study</w:t>
      </w:r>
      <w:r w:rsidRPr="00731558">
        <w:rPr>
          <w:vertAlign w:val="superscript"/>
        </w:rPr>
        <w:footnoteReference w:id="2"/>
      </w:r>
      <w:r w:rsidRPr="00A6438F">
        <w:t xml:space="preserve"> found that there is a greater risk of deaths in colder housing, with EWDs in the coldest 25% of houses three times higher than the warmest 25% of houses.  </w:t>
      </w:r>
    </w:p>
    <w:p w14:paraId="44C0E613" w14:textId="77777777" w:rsidR="004661ED" w:rsidRPr="004E536C" w:rsidRDefault="004661ED" w:rsidP="002C1107">
      <w:pPr>
        <w:pStyle w:val="BodyText"/>
        <w:ind w:left="142" w:right="1446"/>
        <w:jc w:val="both"/>
      </w:pPr>
    </w:p>
    <w:p w14:paraId="374738BA" w14:textId="2AF1932A" w:rsidR="004661ED" w:rsidRPr="00A6438F" w:rsidRDefault="004661ED" w:rsidP="002C1107">
      <w:pPr>
        <w:pStyle w:val="BodyText"/>
        <w:ind w:left="142" w:right="1446"/>
        <w:jc w:val="both"/>
      </w:pPr>
      <w:r w:rsidRPr="00A6438F">
        <w:t xml:space="preserve">There is also a strong relationship between cold temperatures, cardio-vascular and respiratory diseases.  </w:t>
      </w:r>
      <w:r w:rsidR="000568D4">
        <w:t>M</w:t>
      </w:r>
      <w:r w:rsidRPr="00A6438F">
        <w:t>ental health can also be negatively affected by fuel poverty and cold housing for any age group, although particularly children and adolescents. Indirect impacts of cold homes and fuel poverty include reduced educational attainment, emotional well-being and resilience within children; reduced dietary opportunity and choice; and reduced dexterity leading to an increased risk of falls, accidents and injuries in the home.</w:t>
      </w:r>
    </w:p>
    <w:p w14:paraId="4257F889" w14:textId="77777777" w:rsidR="004661ED" w:rsidRPr="00A6438F" w:rsidRDefault="004661ED" w:rsidP="004661ED"/>
    <w:p w14:paraId="74D24DCE" w14:textId="23564456" w:rsidR="007B6F9F" w:rsidRDefault="007B6F9F">
      <w:pPr>
        <w:pStyle w:val="BodyText"/>
        <w:rPr>
          <w:sz w:val="26"/>
        </w:rPr>
      </w:pPr>
    </w:p>
    <w:p w14:paraId="42FFE0BB" w14:textId="428A85E6" w:rsidR="007B6F9F" w:rsidRDefault="00E43694" w:rsidP="003072BC">
      <w:pPr>
        <w:pStyle w:val="Heading1"/>
        <w:spacing w:before="88"/>
        <w:ind w:left="0"/>
        <w:rPr>
          <w:sz w:val="24"/>
          <w:szCs w:val="24"/>
          <w:u w:val="single"/>
        </w:rPr>
      </w:pPr>
      <w:bookmarkStart w:id="31" w:name="_Toc236218969"/>
      <w:r w:rsidRPr="00E43694">
        <w:rPr>
          <w:sz w:val="24"/>
          <w:szCs w:val="24"/>
          <w:u w:val="single"/>
        </w:rPr>
        <w:t>8.0</w:t>
      </w:r>
      <w:r w:rsidRPr="00E43694">
        <w:rPr>
          <w:sz w:val="24"/>
          <w:szCs w:val="24"/>
          <w:u w:val="single"/>
        </w:rPr>
        <w:tab/>
        <w:t>LOCAL SERVICE PROVISION</w:t>
      </w:r>
      <w:bookmarkEnd w:id="31"/>
    </w:p>
    <w:p w14:paraId="556B2E2F" w14:textId="77777777" w:rsidR="00E43694" w:rsidRPr="00F73E46" w:rsidRDefault="00E43694" w:rsidP="003072BC">
      <w:pPr>
        <w:pStyle w:val="Heading1"/>
        <w:spacing w:before="88"/>
        <w:ind w:left="0"/>
        <w:rPr>
          <w:sz w:val="24"/>
          <w:szCs w:val="24"/>
          <w:u w:val="single"/>
        </w:rPr>
      </w:pPr>
    </w:p>
    <w:p w14:paraId="30B360D9" w14:textId="3CFFEC19" w:rsidR="008F762C" w:rsidRDefault="008F762C" w:rsidP="00E43694">
      <w:pPr>
        <w:pStyle w:val="BodyText"/>
        <w:ind w:left="142" w:right="1440"/>
        <w:jc w:val="both"/>
      </w:pPr>
      <w:r>
        <w:t>Below provides a list of local service provision (as of April 2026)</w:t>
      </w:r>
      <w:r w:rsidR="00DD2E1A">
        <w:t xml:space="preserve"> and is subject to change. </w:t>
      </w:r>
      <w:r w:rsidR="005A379C">
        <w:t xml:space="preserve">All services and programmes are </w:t>
      </w:r>
      <w:r w:rsidR="00873A19">
        <w:t>reliant on funding</w:t>
      </w:r>
      <w:r w:rsidR="00DC727A">
        <w:t xml:space="preserve">, other </w:t>
      </w:r>
      <w:r w:rsidR="00DB5DC3">
        <w:t>resourcing requirements</w:t>
      </w:r>
      <w:r w:rsidR="00DC727A">
        <w:t xml:space="preserve"> and </w:t>
      </w:r>
      <w:r w:rsidR="00F45D66">
        <w:t>may be redesigned to better meet needs.</w:t>
      </w:r>
    </w:p>
    <w:p w14:paraId="60D9D30E" w14:textId="77777777" w:rsidR="008F762C" w:rsidRDefault="008F762C" w:rsidP="00E43694">
      <w:pPr>
        <w:pStyle w:val="BodyText"/>
        <w:ind w:left="142" w:right="1440"/>
        <w:jc w:val="both"/>
      </w:pPr>
    </w:p>
    <w:p w14:paraId="7AD1B11D" w14:textId="4B62FBE7" w:rsidR="001A78C4" w:rsidRDefault="001A78C4" w:rsidP="00E43694">
      <w:pPr>
        <w:pStyle w:val="BodyText"/>
        <w:ind w:left="142" w:right="1440"/>
        <w:jc w:val="both"/>
      </w:pPr>
      <w:r>
        <w:t>Memory assessment, diagnosis and treatment are provided by Mersey Care NHS Trust via the Older Adult Community hub, Halewood, Huyton, Whiston (previously known as LLAMS).  This service provides</w:t>
      </w:r>
      <w:r w:rsidR="00063340">
        <w:t xml:space="preserve"> a comprehensive assessment diagnosis and treatment pathway.  </w:t>
      </w:r>
      <w:r w:rsidR="00EB01A4">
        <w:t xml:space="preserve">Dementia referrals are screened daily via management and safety huddle.  Assessments are completed </w:t>
      </w:r>
      <w:r w:rsidR="009F1672">
        <w:t>by the Nursing team and discussed in M</w:t>
      </w:r>
      <w:r w:rsidR="0013182E">
        <w:t>ulti</w:t>
      </w:r>
      <w:r w:rsidR="007B5F34">
        <w:t xml:space="preserve">-Disciplinary </w:t>
      </w:r>
      <w:r w:rsidR="009F1672">
        <w:t>T</w:t>
      </w:r>
      <w:r w:rsidR="007B5F34">
        <w:t>eams</w:t>
      </w:r>
      <w:r w:rsidR="00E00D27">
        <w:t xml:space="preserve"> (MDT)</w:t>
      </w:r>
      <w:r w:rsidR="009F1672">
        <w:t xml:space="preserve"> for a </w:t>
      </w:r>
      <w:r w:rsidR="007E6006">
        <w:t>consultant</w:t>
      </w:r>
      <w:r w:rsidR="00D86E03">
        <w:t xml:space="preserve"> led </w:t>
      </w:r>
      <w:r w:rsidR="009F1672">
        <w:t xml:space="preserve">diagnosis.  </w:t>
      </w:r>
    </w:p>
    <w:p w14:paraId="42354587" w14:textId="77777777" w:rsidR="00E43694" w:rsidRDefault="00E43694" w:rsidP="00F73E46">
      <w:pPr>
        <w:pStyle w:val="BodyText"/>
        <w:ind w:left="142" w:right="1440"/>
        <w:jc w:val="both"/>
      </w:pPr>
    </w:p>
    <w:p w14:paraId="09604054" w14:textId="0A7C2F0B" w:rsidR="00F307CF" w:rsidRDefault="009325E8" w:rsidP="00E43694">
      <w:pPr>
        <w:pStyle w:val="BodyText"/>
        <w:ind w:left="142" w:right="1440"/>
        <w:jc w:val="both"/>
      </w:pPr>
      <w:r>
        <w:t xml:space="preserve">There is a </w:t>
      </w:r>
      <w:r w:rsidR="00E43694">
        <w:t>well-functioning</w:t>
      </w:r>
      <w:r>
        <w:t xml:space="preserve"> MDT including Psychiatry, Nursing, Occupational Therapy</w:t>
      </w:r>
      <w:r w:rsidR="00341354">
        <w:t xml:space="preserve"> and Care Navigators. There are currently no </w:t>
      </w:r>
      <w:r w:rsidR="008465C5">
        <w:t xml:space="preserve">Physiotherapists or Speech and Language </w:t>
      </w:r>
      <w:r w:rsidR="002B3C31">
        <w:t xml:space="preserve">Therapists in the team.  There is also no dedicated Clinical Psychology access for either post diagnostic support or neuropsychological assessment to assist with diagnosis. </w:t>
      </w:r>
    </w:p>
    <w:p w14:paraId="57C4E250" w14:textId="77777777" w:rsidR="00E43694" w:rsidRDefault="00E43694" w:rsidP="007E6006">
      <w:pPr>
        <w:pStyle w:val="BodyText"/>
        <w:ind w:left="142" w:right="1440"/>
        <w:jc w:val="both"/>
      </w:pPr>
    </w:p>
    <w:p w14:paraId="4188E8DE" w14:textId="755680CC" w:rsidR="00FE35BC" w:rsidRDefault="006750B1" w:rsidP="007E6006">
      <w:pPr>
        <w:pStyle w:val="BodyText"/>
        <w:ind w:left="142" w:right="1440"/>
        <w:jc w:val="both"/>
      </w:pPr>
      <w:r>
        <w:t>P</w:t>
      </w:r>
      <w:r w:rsidR="00FE35BC">
        <w:t>ost diagnostic services are available</w:t>
      </w:r>
      <w:r w:rsidR="005E15EA">
        <w:t xml:space="preserve"> including more structured post diagnostic support, group therapies and annual health screen</w:t>
      </w:r>
      <w:r>
        <w:t>ing</w:t>
      </w:r>
      <w:r w:rsidR="005E15EA">
        <w:t xml:space="preserve">.  </w:t>
      </w:r>
      <w:r w:rsidR="00B401B9">
        <w:t>A dementia care navigator</w:t>
      </w:r>
      <w:r w:rsidR="00332EC5">
        <w:t xml:space="preserve"> provides consistent ongoing support.  </w:t>
      </w:r>
      <w:r w:rsidR="00F307CF">
        <w:t xml:space="preserve">Care home liaison is also provided. </w:t>
      </w:r>
    </w:p>
    <w:p w14:paraId="52FE0061" w14:textId="373F412A" w:rsidR="001A78C4" w:rsidRDefault="00CF6F14" w:rsidP="00790B42">
      <w:pPr>
        <w:pStyle w:val="BodyText"/>
        <w:ind w:left="142" w:right="1440"/>
        <w:jc w:val="both"/>
      </w:pPr>
      <w:r>
        <w:t>Mersey</w:t>
      </w:r>
      <w:r w:rsidR="00063340">
        <w:t xml:space="preserve"> Care NHS Foundation Trust also </w:t>
      </w:r>
      <w:r>
        <w:t xml:space="preserve">runs as </w:t>
      </w:r>
      <w:r w:rsidR="00ED066B">
        <w:t xml:space="preserve">an </w:t>
      </w:r>
      <w:r w:rsidR="001A78C4">
        <w:t xml:space="preserve">Admiral Nurse Service </w:t>
      </w:r>
      <w:r>
        <w:t xml:space="preserve">which provides support to the carers and families of people living with dementia.  </w:t>
      </w:r>
    </w:p>
    <w:p w14:paraId="1BD3374A" w14:textId="77777777" w:rsidR="00E43694" w:rsidRDefault="00E43694" w:rsidP="007E6006">
      <w:pPr>
        <w:pStyle w:val="BodyText"/>
        <w:ind w:left="142" w:right="1440"/>
        <w:jc w:val="both"/>
      </w:pPr>
    </w:p>
    <w:p w14:paraId="50CF78AE" w14:textId="3E3275ED" w:rsidR="00F307CF" w:rsidRDefault="00F307CF" w:rsidP="00790B42">
      <w:pPr>
        <w:pStyle w:val="BodyText"/>
        <w:ind w:left="142" w:right="1440"/>
        <w:jc w:val="both"/>
      </w:pPr>
      <w:r>
        <w:t xml:space="preserve">There are close links with other providers in the local area including </w:t>
      </w:r>
      <w:r w:rsidR="00790B42">
        <w:t xml:space="preserve">the </w:t>
      </w:r>
      <w:r>
        <w:t xml:space="preserve">Alzheimer’s Society, Carers Trust, Domiciliary Care agencies, Day centres and nursing/ residential care homes. </w:t>
      </w:r>
    </w:p>
    <w:p w14:paraId="6312853B" w14:textId="77777777" w:rsidR="00875428" w:rsidRDefault="00875428" w:rsidP="007E6006">
      <w:pPr>
        <w:pStyle w:val="BodyText"/>
        <w:ind w:rightChars="1435" w:right="3157"/>
        <w:jc w:val="both"/>
      </w:pPr>
    </w:p>
    <w:p w14:paraId="6E39EAED" w14:textId="6E1F062E" w:rsidR="00D30FED" w:rsidRPr="002973DE" w:rsidRDefault="00D30FED" w:rsidP="007E6006">
      <w:pPr>
        <w:ind w:left="142" w:right="1435"/>
        <w:jc w:val="both"/>
        <w:rPr>
          <w:sz w:val="24"/>
          <w:szCs w:val="24"/>
        </w:rPr>
      </w:pPr>
      <w:r w:rsidRPr="002973DE">
        <w:rPr>
          <w:b/>
          <w:bCs/>
          <w:sz w:val="24"/>
          <w:szCs w:val="24"/>
        </w:rPr>
        <w:t>Dementia Advisor Service</w:t>
      </w:r>
      <w:r w:rsidRPr="002973DE">
        <w:rPr>
          <w:sz w:val="24"/>
          <w:szCs w:val="24"/>
        </w:rPr>
        <w:t xml:space="preserve"> – This is provided by Alzheimer's</w:t>
      </w:r>
      <w:r w:rsidR="00536886">
        <w:rPr>
          <w:sz w:val="24"/>
          <w:szCs w:val="24"/>
        </w:rPr>
        <w:t xml:space="preserve"> </w:t>
      </w:r>
      <w:r w:rsidRPr="002973DE">
        <w:rPr>
          <w:sz w:val="24"/>
          <w:szCs w:val="24"/>
        </w:rPr>
        <w:t xml:space="preserve">Society. It provides a personalised one-to-one service, providing information, signposting and support to anyone affected by dementia. They can see people at home, provide support by post, telephone, email or in the community. They </w:t>
      </w:r>
      <w:r w:rsidR="00222C81">
        <w:rPr>
          <w:sz w:val="24"/>
          <w:szCs w:val="24"/>
        </w:rPr>
        <w:t>provide support</w:t>
      </w:r>
      <w:r w:rsidR="00222C81" w:rsidRPr="002973DE">
        <w:rPr>
          <w:sz w:val="24"/>
          <w:szCs w:val="24"/>
        </w:rPr>
        <w:t xml:space="preserve"> </w:t>
      </w:r>
      <w:r w:rsidRPr="002973DE">
        <w:rPr>
          <w:sz w:val="24"/>
          <w:szCs w:val="24"/>
        </w:rPr>
        <w:t>with issues such as:</w:t>
      </w:r>
      <w:r w:rsidRPr="002973DE">
        <w:rPr>
          <w:sz w:val="24"/>
          <w:szCs w:val="24"/>
        </w:rPr>
        <w:br/>
      </w:r>
      <w:r w:rsidRPr="002973DE">
        <w:rPr>
          <w:sz w:val="24"/>
          <w:szCs w:val="24"/>
        </w:rPr>
        <w:br/>
        <w:t>•</w:t>
      </w:r>
      <w:r w:rsidRPr="002973DE">
        <w:rPr>
          <w:sz w:val="24"/>
          <w:szCs w:val="24"/>
        </w:rPr>
        <w:tab/>
        <w:t xml:space="preserve">Understanding a diagnosis of dementia </w:t>
      </w:r>
    </w:p>
    <w:p w14:paraId="3EF66D46" w14:textId="77777777" w:rsidR="00D30FED" w:rsidRPr="002973DE" w:rsidRDefault="00D30FED" w:rsidP="007E6006">
      <w:pPr>
        <w:ind w:left="142" w:right="1435"/>
        <w:jc w:val="both"/>
        <w:rPr>
          <w:sz w:val="24"/>
          <w:szCs w:val="24"/>
        </w:rPr>
      </w:pPr>
      <w:r w:rsidRPr="002973DE">
        <w:rPr>
          <w:sz w:val="24"/>
          <w:szCs w:val="24"/>
        </w:rPr>
        <w:t>•</w:t>
      </w:r>
      <w:r w:rsidRPr="002973DE">
        <w:rPr>
          <w:sz w:val="24"/>
          <w:szCs w:val="24"/>
        </w:rPr>
        <w:tab/>
        <w:t xml:space="preserve">Legal matters including Lasting Power of Attorney </w:t>
      </w:r>
    </w:p>
    <w:p w14:paraId="0ECAF4EB" w14:textId="77777777" w:rsidR="00D30FED" w:rsidRPr="002973DE" w:rsidRDefault="00D30FED" w:rsidP="007E6006">
      <w:pPr>
        <w:ind w:left="142" w:right="1435"/>
        <w:jc w:val="both"/>
        <w:rPr>
          <w:sz w:val="24"/>
          <w:szCs w:val="24"/>
        </w:rPr>
      </w:pPr>
      <w:r w:rsidRPr="002973DE">
        <w:rPr>
          <w:sz w:val="24"/>
          <w:szCs w:val="24"/>
        </w:rPr>
        <w:t>•</w:t>
      </w:r>
      <w:r w:rsidRPr="002973DE">
        <w:rPr>
          <w:sz w:val="24"/>
          <w:szCs w:val="24"/>
        </w:rPr>
        <w:tab/>
        <w:t xml:space="preserve">Managing your money and benefits </w:t>
      </w:r>
    </w:p>
    <w:p w14:paraId="6575295F" w14:textId="77777777" w:rsidR="00790B42" w:rsidRDefault="00D30FED" w:rsidP="00790B42">
      <w:pPr>
        <w:ind w:left="142" w:right="1435"/>
        <w:jc w:val="both"/>
        <w:rPr>
          <w:sz w:val="24"/>
          <w:szCs w:val="24"/>
        </w:rPr>
      </w:pPr>
      <w:r w:rsidRPr="002973DE">
        <w:rPr>
          <w:sz w:val="24"/>
          <w:szCs w:val="24"/>
        </w:rPr>
        <w:t>•</w:t>
      </w:r>
      <w:r w:rsidRPr="002973DE">
        <w:rPr>
          <w:sz w:val="24"/>
          <w:szCs w:val="24"/>
        </w:rPr>
        <w:tab/>
        <w:t>Support with everyday tasks and getting further help</w:t>
      </w:r>
    </w:p>
    <w:p w14:paraId="1B2290B9" w14:textId="722FEF1A" w:rsidR="00D30FED" w:rsidRPr="002973DE" w:rsidRDefault="00D30FED" w:rsidP="00FF6A09">
      <w:pPr>
        <w:ind w:left="142" w:right="1435"/>
        <w:jc w:val="both"/>
        <w:rPr>
          <w:sz w:val="24"/>
          <w:szCs w:val="24"/>
        </w:rPr>
      </w:pPr>
    </w:p>
    <w:p w14:paraId="3FE738CA" w14:textId="79236EBD" w:rsidR="004D5B3C" w:rsidRDefault="00D30FED" w:rsidP="00111421">
      <w:pPr>
        <w:ind w:left="142" w:right="1435"/>
        <w:jc w:val="both"/>
        <w:rPr>
          <w:sz w:val="24"/>
          <w:szCs w:val="24"/>
        </w:rPr>
      </w:pPr>
      <w:r w:rsidRPr="002973DE">
        <w:rPr>
          <w:b/>
          <w:bCs/>
          <w:sz w:val="24"/>
          <w:szCs w:val="24"/>
        </w:rPr>
        <w:t>Activity Group feat Love to Move</w:t>
      </w:r>
      <w:r w:rsidRPr="00FF6A09">
        <w:rPr>
          <w:sz w:val="24"/>
          <w:szCs w:val="24"/>
        </w:rPr>
        <w:t xml:space="preserve"> –</w:t>
      </w:r>
      <w:r w:rsidRPr="002973DE">
        <w:rPr>
          <w:b/>
          <w:bCs/>
          <w:sz w:val="24"/>
          <w:szCs w:val="24"/>
        </w:rPr>
        <w:t xml:space="preserve"> </w:t>
      </w:r>
      <w:r w:rsidRPr="002973DE">
        <w:rPr>
          <w:sz w:val="24"/>
          <w:szCs w:val="24"/>
        </w:rPr>
        <w:t>An activity group based around a variety of engaging activities, such as quizzes, planting, singing and reminiscence. There</w:t>
      </w:r>
      <w:r w:rsidR="00514022">
        <w:rPr>
          <w:sz w:val="24"/>
          <w:szCs w:val="24"/>
        </w:rPr>
        <w:t xml:space="preserve"> i</w:t>
      </w:r>
      <w:r w:rsidRPr="002973DE">
        <w:rPr>
          <w:sz w:val="24"/>
          <w:szCs w:val="24"/>
        </w:rPr>
        <w:t>s also a Love to Move light exercise session. The group has a chance to relax and socialise. It</w:t>
      </w:r>
      <w:r w:rsidR="00111421">
        <w:rPr>
          <w:sz w:val="24"/>
          <w:szCs w:val="24"/>
        </w:rPr>
        <w:t xml:space="preserve"> i</w:t>
      </w:r>
      <w:r w:rsidRPr="002973DE">
        <w:rPr>
          <w:sz w:val="24"/>
          <w:szCs w:val="24"/>
        </w:rPr>
        <w:t>s designed for people living with dementia and a carer or companion is welcome to attend.</w:t>
      </w:r>
    </w:p>
    <w:p w14:paraId="7DA61805" w14:textId="52C49D75" w:rsidR="00222C81" w:rsidRDefault="00D30FED" w:rsidP="00111421">
      <w:pPr>
        <w:ind w:left="142" w:right="1435"/>
        <w:jc w:val="both"/>
        <w:rPr>
          <w:sz w:val="24"/>
          <w:szCs w:val="24"/>
        </w:rPr>
      </w:pPr>
      <w:r w:rsidRPr="002973DE">
        <w:rPr>
          <w:sz w:val="24"/>
          <w:szCs w:val="24"/>
        </w:rPr>
        <w:br/>
      </w:r>
      <w:r w:rsidRPr="002973DE">
        <w:rPr>
          <w:b/>
          <w:bCs/>
          <w:sz w:val="24"/>
          <w:szCs w:val="24"/>
        </w:rPr>
        <w:t>Carer Information and Support Programme</w:t>
      </w:r>
      <w:r w:rsidRPr="002973DE">
        <w:rPr>
          <w:sz w:val="24"/>
          <w:szCs w:val="24"/>
        </w:rPr>
        <w:t xml:space="preserve"> – CRISP is a course designed to equip carers with the information, understanding and coping techniques to support a person living with dementia, both now and as dementia progresses.</w:t>
      </w:r>
    </w:p>
    <w:p w14:paraId="3D344185" w14:textId="6BA8770B" w:rsidR="00D30FED" w:rsidRPr="002973DE" w:rsidRDefault="00D30FED" w:rsidP="00505A56">
      <w:pPr>
        <w:ind w:left="142" w:right="1435"/>
        <w:jc w:val="both"/>
        <w:rPr>
          <w:sz w:val="24"/>
          <w:szCs w:val="24"/>
        </w:rPr>
      </w:pPr>
      <w:r w:rsidRPr="002973DE">
        <w:rPr>
          <w:sz w:val="24"/>
          <w:szCs w:val="24"/>
        </w:rPr>
        <w:br/>
      </w:r>
      <w:r w:rsidRPr="002973DE">
        <w:rPr>
          <w:b/>
          <w:bCs/>
          <w:sz w:val="24"/>
          <w:szCs w:val="24"/>
        </w:rPr>
        <w:t>Dementia Friends</w:t>
      </w:r>
      <w:r w:rsidRPr="002973DE">
        <w:rPr>
          <w:sz w:val="24"/>
          <w:szCs w:val="24"/>
        </w:rPr>
        <w:t xml:space="preserve"> – This is an Alzheimer's Society initiative. They</w:t>
      </w:r>
      <w:r w:rsidR="00222C81">
        <w:rPr>
          <w:sz w:val="24"/>
          <w:szCs w:val="24"/>
        </w:rPr>
        <w:t xml:space="preserve"> </w:t>
      </w:r>
      <w:r w:rsidR="00E71035">
        <w:rPr>
          <w:sz w:val="24"/>
          <w:szCs w:val="24"/>
        </w:rPr>
        <w:t>can</w:t>
      </w:r>
      <w:r w:rsidRPr="002973DE">
        <w:rPr>
          <w:sz w:val="24"/>
          <w:szCs w:val="24"/>
        </w:rPr>
        <w:t xml:space="preserve"> provide dementia friends sessions to help raise awareness and improve understanding of dementia. It consists of a 1-hour workshop, which can be delivered virtually or face-to-face.</w:t>
      </w:r>
      <w:r w:rsidRPr="002973DE">
        <w:rPr>
          <w:sz w:val="24"/>
          <w:szCs w:val="24"/>
        </w:rPr>
        <w:br/>
      </w:r>
    </w:p>
    <w:p w14:paraId="18E0BA43" w14:textId="7935EF2F" w:rsidR="004D5B3C" w:rsidRDefault="00D30FED" w:rsidP="00514022">
      <w:pPr>
        <w:ind w:left="142" w:right="1435"/>
        <w:jc w:val="both"/>
        <w:rPr>
          <w:sz w:val="24"/>
          <w:szCs w:val="24"/>
        </w:rPr>
      </w:pPr>
      <w:r w:rsidRPr="002973DE">
        <w:rPr>
          <w:b/>
          <w:bCs/>
          <w:sz w:val="24"/>
          <w:szCs w:val="24"/>
        </w:rPr>
        <w:t>Companion Calls</w:t>
      </w:r>
      <w:r w:rsidRPr="002973DE">
        <w:rPr>
          <w:sz w:val="24"/>
          <w:szCs w:val="24"/>
        </w:rPr>
        <w:t xml:space="preserve"> – This is a regular (usually weekly) telephone call made by a volunteer to someone affected by dementia, to check in and have a friendly chat about anything the person they</w:t>
      </w:r>
      <w:r w:rsidR="004D5B3C">
        <w:rPr>
          <w:sz w:val="24"/>
          <w:szCs w:val="24"/>
        </w:rPr>
        <w:t xml:space="preserve"> a</w:t>
      </w:r>
      <w:r w:rsidRPr="002973DE">
        <w:rPr>
          <w:sz w:val="24"/>
          <w:szCs w:val="24"/>
        </w:rPr>
        <w:t>re calling would like to talk about.</w:t>
      </w:r>
    </w:p>
    <w:p w14:paraId="18C262E9" w14:textId="354116FB" w:rsidR="00D30FED" w:rsidRPr="002973DE" w:rsidRDefault="00D30FED" w:rsidP="00E375FE">
      <w:pPr>
        <w:ind w:left="142" w:right="1435"/>
        <w:jc w:val="both"/>
        <w:rPr>
          <w:sz w:val="24"/>
          <w:szCs w:val="24"/>
        </w:rPr>
      </w:pPr>
      <w:r w:rsidRPr="002973DE">
        <w:rPr>
          <w:sz w:val="24"/>
          <w:szCs w:val="24"/>
        </w:rPr>
        <w:lastRenderedPageBreak/>
        <w:br/>
      </w:r>
      <w:r w:rsidRPr="002973DE">
        <w:rPr>
          <w:b/>
          <w:bCs/>
          <w:sz w:val="24"/>
          <w:szCs w:val="24"/>
        </w:rPr>
        <w:t>Dementia Directory</w:t>
      </w:r>
      <w:r w:rsidRPr="002973DE">
        <w:rPr>
          <w:sz w:val="24"/>
          <w:szCs w:val="24"/>
        </w:rPr>
        <w:t xml:space="preserve"> – This enables people to find services and activities online for people affected by dementia. If a user enters their location and the kind of support they’re looking for, the directory provides a list of results to look through.</w:t>
      </w:r>
      <w:r w:rsidRPr="002973DE">
        <w:rPr>
          <w:sz w:val="24"/>
          <w:szCs w:val="24"/>
        </w:rPr>
        <w:br/>
      </w:r>
    </w:p>
    <w:p w14:paraId="323BD165" w14:textId="77777777" w:rsidR="004D5B3C" w:rsidRDefault="00D30FED" w:rsidP="00514022">
      <w:pPr>
        <w:ind w:left="142" w:right="1435"/>
        <w:jc w:val="both"/>
        <w:rPr>
          <w:sz w:val="24"/>
          <w:szCs w:val="24"/>
        </w:rPr>
      </w:pPr>
      <w:r w:rsidRPr="002973DE">
        <w:rPr>
          <w:b/>
          <w:bCs/>
          <w:sz w:val="24"/>
          <w:szCs w:val="24"/>
        </w:rPr>
        <w:t>Talking Point</w:t>
      </w:r>
      <w:r w:rsidRPr="002973DE">
        <w:rPr>
          <w:sz w:val="24"/>
          <w:szCs w:val="24"/>
        </w:rPr>
        <w:t xml:space="preserve"> – An online community where anyone who is affected by dementia can receive support.</w:t>
      </w:r>
    </w:p>
    <w:p w14:paraId="65F527EE" w14:textId="77777777" w:rsidR="004D5B3C" w:rsidRDefault="00D30FED" w:rsidP="00514022">
      <w:pPr>
        <w:ind w:left="142" w:right="1435"/>
        <w:jc w:val="both"/>
        <w:rPr>
          <w:sz w:val="24"/>
          <w:szCs w:val="24"/>
        </w:rPr>
      </w:pPr>
      <w:r w:rsidRPr="002973DE">
        <w:rPr>
          <w:sz w:val="24"/>
          <w:szCs w:val="24"/>
        </w:rPr>
        <w:br/>
      </w:r>
      <w:r w:rsidRPr="002973DE">
        <w:rPr>
          <w:b/>
          <w:bCs/>
          <w:sz w:val="24"/>
          <w:szCs w:val="24"/>
        </w:rPr>
        <w:t>Join Dementia Research</w:t>
      </w:r>
      <w:r w:rsidRPr="002973DE">
        <w:rPr>
          <w:sz w:val="24"/>
          <w:szCs w:val="24"/>
        </w:rPr>
        <w:t xml:space="preserve"> – The information you provide is used to match you to studies you may be able to take part in. You can review your matches before deciding whether to take part.</w:t>
      </w:r>
    </w:p>
    <w:p w14:paraId="6739578B" w14:textId="536A0660" w:rsidR="002E7EC8" w:rsidRDefault="00D30FED" w:rsidP="004D5B3C">
      <w:pPr>
        <w:ind w:left="142" w:right="1435"/>
        <w:jc w:val="both"/>
        <w:rPr>
          <w:sz w:val="24"/>
          <w:szCs w:val="24"/>
        </w:rPr>
      </w:pPr>
      <w:r w:rsidRPr="002973DE">
        <w:rPr>
          <w:sz w:val="24"/>
          <w:szCs w:val="24"/>
        </w:rPr>
        <w:br/>
      </w:r>
      <w:r w:rsidRPr="002973DE">
        <w:rPr>
          <w:b/>
          <w:bCs/>
          <w:sz w:val="24"/>
          <w:szCs w:val="24"/>
        </w:rPr>
        <w:t>Continuing Healthcare Appeals</w:t>
      </w:r>
      <w:r w:rsidRPr="002973DE">
        <w:rPr>
          <w:sz w:val="24"/>
          <w:szCs w:val="24"/>
        </w:rPr>
        <w:t xml:space="preserve"> – The Society’s C</w:t>
      </w:r>
      <w:r w:rsidR="002E7EC8">
        <w:rPr>
          <w:sz w:val="24"/>
          <w:szCs w:val="24"/>
        </w:rPr>
        <w:t xml:space="preserve">ontinuing </w:t>
      </w:r>
      <w:r w:rsidRPr="002973DE">
        <w:rPr>
          <w:sz w:val="24"/>
          <w:szCs w:val="24"/>
        </w:rPr>
        <w:t>H</w:t>
      </w:r>
      <w:r w:rsidR="002E7EC8">
        <w:rPr>
          <w:sz w:val="24"/>
          <w:szCs w:val="24"/>
        </w:rPr>
        <w:t xml:space="preserve">ealth </w:t>
      </w:r>
      <w:r w:rsidRPr="002973DE">
        <w:rPr>
          <w:sz w:val="24"/>
          <w:szCs w:val="24"/>
        </w:rPr>
        <w:t>C</w:t>
      </w:r>
      <w:r w:rsidR="002E7EC8">
        <w:rPr>
          <w:sz w:val="24"/>
          <w:szCs w:val="24"/>
        </w:rPr>
        <w:t>are</w:t>
      </w:r>
      <w:r w:rsidRPr="002973DE">
        <w:rPr>
          <w:sz w:val="24"/>
          <w:szCs w:val="24"/>
        </w:rPr>
        <w:t xml:space="preserve"> Appeals Support provide</w:t>
      </w:r>
      <w:r w:rsidR="00874C59">
        <w:rPr>
          <w:sz w:val="24"/>
          <w:szCs w:val="24"/>
        </w:rPr>
        <w:t>s</w:t>
      </w:r>
      <w:r w:rsidRPr="002973DE">
        <w:rPr>
          <w:sz w:val="24"/>
          <w:szCs w:val="24"/>
        </w:rPr>
        <w:t xml:space="preserve"> advice on appealing decisions</w:t>
      </w:r>
      <w:r w:rsidR="00874C59">
        <w:rPr>
          <w:sz w:val="24"/>
          <w:szCs w:val="24"/>
        </w:rPr>
        <w:t xml:space="preserve"> about health care </w:t>
      </w:r>
      <w:r w:rsidR="0036629C">
        <w:rPr>
          <w:sz w:val="24"/>
          <w:szCs w:val="24"/>
        </w:rPr>
        <w:t>support provided</w:t>
      </w:r>
      <w:r w:rsidRPr="002973DE">
        <w:rPr>
          <w:sz w:val="24"/>
          <w:szCs w:val="24"/>
        </w:rPr>
        <w:t>.</w:t>
      </w:r>
    </w:p>
    <w:p w14:paraId="7BD71857" w14:textId="6DF96C63" w:rsidR="003D45D8" w:rsidRDefault="00AE11DE" w:rsidP="002E7EC8">
      <w:pPr>
        <w:ind w:left="142" w:right="1435"/>
        <w:jc w:val="both"/>
        <w:rPr>
          <w:sz w:val="24"/>
          <w:szCs w:val="24"/>
        </w:rPr>
      </w:pPr>
      <w:r w:rsidRPr="002973DE">
        <w:rPr>
          <w:sz w:val="24"/>
          <w:szCs w:val="24"/>
        </w:rPr>
        <w:br/>
      </w:r>
      <w:r w:rsidR="00D30FED" w:rsidRPr="002973DE">
        <w:rPr>
          <w:b/>
          <w:bCs/>
          <w:sz w:val="24"/>
          <w:szCs w:val="24"/>
        </w:rPr>
        <w:t>L</w:t>
      </w:r>
      <w:r w:rsidR="00FD24C3">
        <w:rPr>
          <w:b/>
          <w:bCs/>
          <w:sz w:val="24"/>
          <w:szCs w:val="24"/>
        </w:rPr>
        <w:t xml:space="preserve">asting </w:t>
      </w:r>
      <w:r w:rsidR="00D30FED" w:rsidRPr="002973DE">
        <w:rPr>
          <w:b/>
          <w:bCs/>
          <w:sz w:val="24"/>
          <w:szCs w:val="24"/>
        </w:rPr>
        <w:t>P</w:t>
      </w:r>
      <w:r w:rsidR="00FD24C3">
        <w:rPr>
          <w:b/>
          <w:bCs/>
          <w:sz w:val="24"/>
          <w:szCs w:val="24"/>
        </w:rPr>
        <w:t xml:space="preserve">ower of </w:t>
      </w:r>
      <w:r w:rsidR="00D30FED" w:rsidRPr="002973DE">
        <w:rPr>
          <w:b/>
          <w:bCs/>
          <w:sz w:val="24"/>
          <w:szCs w:val="24"/>
        </w:rPr>
        <w:t>A</w:t>
      </w:r>
      <w:r w:rsidR="00FD24C3">
        <w:rPr>
          <w:b/>
          <w:bCs/>
          <w:sz w:val="24"/>
          <w:szCs w:val="24"/>
        </w:rPr>
        <w:t>ttorney (LPA)</w:t>
      </w:r>
      <w:r w:rsidR="00D30FED" w:rsidRPr="002973DE">
        <w:rPr>
          <w:b/>
          <w:bCs/>
          <w:sz w:val="24"/>
          <w:szCs w:val="24"/>
        </w:rPr>
        <w:t xml:space="preserve"> Digital Assistance</w:t>
      </w:r>
      <w:r w:rsidR="00D30FED" w:rsidRPr="002973DE">
        <w:rPr>
          <w:sz w:val="24"/>
          <w:szCs w:val="24"/>
        </w:rPr>
        <w:t xml:space="preserve"> – For those without internet access or those who do</w:t>
      </w:r>
      <w:r w:rsidR="003D45D8">
        <w:rPr>
          <w:sz w:val="24"/>
          <w:szCs w:val="24"/>
        </w:rPr>
        <w:t xml:space="preserve"> </w:t>
      </w:r>
      <w:r w:rsidR="00D30FED" w:rsidRPr="002973DE">
        <w:rPr>
          <w:sz w:val="24"/>
          <w:szCs w:val="24"/>
        </w:rPr>
        <w:t>n</w:t>
      </w:r>
      <w:r w:rsidR="003D45D8">
        <w:rPr>
          <w:sz w:val="24"/>
          <w:szCs w:val="24"/>
        </w:rPr>
        <w:t>o</w:t>
      </w:r>
      <w:r w:rsidR="00D30FED" w:rsidRPr="002973DE">
        <w:rPr>
          <w:sz w:val="24"/>
          <w:szCs w:val="24"/>
        </w:rPr>
        <w:t>t feel comfortable completing the online form, Alzheimer's Society offer a digital assistance service. LPA forms are completed on your behalf by a trained volunteer, using an online tool created by O</w:t>
      </w:r>
      <w:r w:rsidR="006E1AD4">
        <w:rPr>
          <w:sz w:val="24"/>
          <w:szCs w:val="24"/>
        </w:rPr>
        <w:t xml:space="preserve">ffice of the </w:t>
      </w:r>
      <w:r w:rsidR="00D30FED" w:rsidRPr="002973DE">
        <w:rPr>
          <w:sz w:val="24"/>
          <w:szCs w:val="24"/>
        </w:rPr>
        <w:t>P</w:t>
      </w:r>
      <w:r w:rsidR="006E1AD4">
        <w:rPr>
          <w:sz w:val="24"/>
          <w:szCs w:val="24"/>
        </w:rPr>
        <w:t xml:space="preserve">ublic </w:t>
      </w:r>
      <w:r w:rsidR="00D30FED" w:rsidRPr="002973DE">
        <w:rPr>
          <w:sz w:val="24"/>
          <w:szCs w:val="24"/>
        </w:rPr>
        <w:t>G</w:t>
      </w:r>
      <w:r w:rsidR="006E1AD4">
        <w:rPr>
          <w:sz w:val="24"/>
          <w:szCs w:val="24"/>
        </w:rPr>
        <w:t>uardian</w:t>
      </w:r>
      <w:r w:rsidR="00D30FED" w:rsidRPr="002973DE">
        <w:rPr>
          <w:sz w:val="24"/>
          <w:szCs w:val="24"/>
        </w:rPr>
        <w:t>.</w:t>
      </w:r>
    </w:p>
    <w:p w14:paraId="5358ABF8" w14:textId="77777777" w:rsidR="00F26F27" w:rsidRDefault="00AE11DE" w:rsidP="003D45D8">
      <w:pPr>
        <w:ind w:left="142" w:right="1435"/>
        <w:jc w:val="both"/>
      </w:pPr>
      <w:r w:rsidRPr="002973DE">
        <w:rPr>
          <w:sz w:val="24"/>
          <w:szCs w:val="24"/>
        </w:rPr>
        <w:br/>
      </w:r>
      <w:r w:rsidR="00D30FED" w:rsidRPr="002973DE">
        <w:rPr>
          <w:b/>
          <w:bCs/>
        </w:rPr>
        <w:t>Will to Remember</w:t>
      </w:r>
      <w:r w:rsidR="00D30FED" w:rsidRPr="00536886">
        <w:t xml:space="preserve"> – A service which helps provide an up to date will.</w:t>
      </w:r>
    </w:p>
    <w:p w14:paraId="74D70725" w14:textId="4F4093DA" w:rsidR="00F26F27" w:rsidRDefault="00095F9C" w:rsidP="00F26F27">
      <w:pPr>
        <w:ind w:left="142" w:right="1435"/>
        <w:jc w:val="both"/>
        <w:rPr>
          <w:sz w:val="26"/>
        </w:rPr>
      </w:pPr>
      <w:r w:rsidRPr="00831C18">
        <w:br/>
      </w:r>
    </w:p>
    <w:p w14:paraId="2BA065C9" w14:textId="55A5AEE5" w:rsidR="00520ADE" w:rsidRPr="00E3623D" w:rsidRDefault="00296F5B" w:rsidP="004A10DC">
      <w:pPr>
        <w:pStyle w:val="Heading1"/>
        <w:tabs>
          <w:tab w:val="left" w:pos="861"/>
        </w:tabs>
        <w:jc w:val="both"/>
        <w:rPr>
          <w:sz w:val="24"/>
          <w:szCs w:val="24"/>
          <w:u w:val="single"/>
        </w:rPr>
      </w:pPr>
      <w:bookmarkStart w:id="32" w:name="_Toc236218970"/>
      <w:r w:rsidRPr="00E3623D">
        <w:rPr>
          <w:sz w:val="24"/>
          <w:szCs w:val="24"/>
          <w:u w:val="single"/>
        </w:rPr>
        <w:t>9.0</w:t>
      </w:r>
      <w:r w:rsidRPr="00E3623D">
        <w:rPr>
          <w:sz w:val="24"/>
          <w:szCs w:val="24"/>
          <w:u w:val="single"/>
        </w:rPr>
        <w:tab/>
        <w:t>CARERS AND SUPPORT</w:t>
      </w:r>
      <w:bookmarkEnd w:id="32"/>
    </w:p>
    <w:p w14:paraId="436DA883" w14:textId="77777777" w:rsidR="00520ADE" w:rsidRDefault="00520ADE">
      <w:pPr>
        <w:pStyle w:val="BodyText"/>
        <w:spacing w:before="1"/>
        <w:rPr>
          <w:b/>
          <w:sz w:val="21"/>
        </w:rPr>
      </w:pPr>
    </w:p>
    <w:p w14:paraId="05F6D08A" w14:textId="34877CF5" w:rsidR="0092075E" w:rsidRPr="0092075E" w:rsidRDefault="00D17A4B" w:rsidP="00296F5B">
      <w:pPr>
        <w:pStyle w:val="BodyText"/>
        <w:ind w:left="142" w:right="1435"/>
        <w:jc w:val="both"/>
        <w:rPr>
          <w:b/>
          <w:bCs/>
        </w:rPr>
      </w:pPr>
      <w:r w:rsidRPr="00994944">
        <w:t>A significant element of caregiving is provided informally by spouses, children, other family members and friends, all of which can have a psycho-social and economic impact as they may be forced to stop working, cut back on work, or take a less demand</w:t>
      </w:r>
      <w:r w:rsidRPr="00884B10">
        <w:t>i</w:t>
      </w:r>
      <w:r w:rsidRPr="00994944">
        <w:t xml:space="preserve">ng job to care for a family member with dementia. </w:t>
      </w:r>
      <w:r w:rsidR="00892C1A">
        <w:t xml:space="preserve">The </w:t>
      </w:r>
      <w:r w:rsidR="0092075E" w:rsidRPr="0092075E">
        <w:t>State of Caring Survey 2023</w:t>
      </w:r>
      <w:r w:rsidR="00892C1A">
        <w:t xml:space="preserve">, </w:t>
      </w:r>
      <w:r w:rsidR="009542CA">
        <w:t xml:space="preserve">demonstrates </w:t>
      </w:r>
      <w:r w:rsidR="00892C1A">
        <w:t>the impact</w:t>
      </w:r>
      <w:r w:rsidR="00D44F81">
        <w:t xml:space="preserve"> providing care has on the </w:t>
      </w:r>
      <w:r w:rsidR="00892C1A">
        <w:t>he</w:t>
      </w:r>
      <w:r w:rsidR="00D44F81">
        <w:t>alth of carers</w:t>
      </w:r>
      <w:r w:rsidR="007E555C">
        <w:t>:</w:t>
      </w:r>
    </w:p>
    <w:p w14:paraId="0386E495" w14:textId="77777777" w:rsidR="00520ADE" w:rsidRPr="00994944" w:rsidRDefault="00520ADE" w:rsidP="00296F5B">
      <w:pPr>
        <w:pStyle w:val="BodyText"/>
        <w:ind w:left="142" w:right="1435"/>
        <w:rPr>
          <w:sz w:val="26"/>
        </w:rPr>
      </w:pPr>
    </w:p>
    <w:p w14:paraId="68FBC93F" w14:textId="4691DF30" w:rsidR="00520ADE" w:rsidRPr="00994944" w:rsidRDefault="00111A64" w:rsidP="00E3623D">
      <w:pPr>
        <w:pStyle w:val="ListParagraph"/>
        <w:numPr>
          <w:ilvl w:val="1"/>
          <w:numId w:val="18"/>
        </w:numPr>
        <w:tabs>
          <w:tab w:val="left" w:pos="860"/>
          <w:tab w:val="left" w:pos="861"/>
        </w:tabs>
        <w:ind w:left="709" w:right="1435" w:hanging="283"/>
        <w:rPr>
          <w:sz w:val="24"/>
        </w:rPr>
      </w:pPr>
      <w:r>
        <w:rPr>
          <w:sz w:val="24"/>
        </w:rPr>
        <w:t>Around half</w:t>
      </w:r>
      <w:r w:rsidR="00D17A4B" w:rsidRPr="00994944">
        <w:rPr>
          <w:sz w:val="24"/>
        </w:rPr>
        <w:t xml:space="preserve"> 4</w:t>
      </w:r>
      <w:r>
        <w:rPr>
          <w:sz w:val="24"/>
        </w:rPr>
        <w:t>9</w:t>
      </w:r>
      <w:r w:rsidR="00D17A4B" w:rsidRPr="00994944">
        <w:rPr>
          <w:sz w:val="24"/>
        </w:rPr>
        <w:t xml:space="preserve">% of carers </w:t>
      </w:r>
      <w:r>
        <w:rPr>
          <w:sz w:val="24"/>
        </w:rPr>
        <w:t xml:space="preserve">feel </w:t>
      </w:r>
      <w:r w:rsidR="00D17A4B" w:rsidRPr="00994944">
        <w:rPr>
          <w:sz w:val="24"/>
        </w:rPr>
        <w:t>depres</w:t>
      </w:r>
      <w:r>
        <w:rPr>
          <w:sz w:val="24"/>
        </w:rPr>
        <w:t>sed</w:t>
      </w:r>
      <w:r w:rsidR="00456400">
        <w:rPr>
          <w:sz w:val="24"/>
        </w:rPr>
        <w:t xml:space="preserve"> and </w:t>
      </w:r>
      <w:r w:rsidR="006D5E4A">
        <w:rPr>
          <w:sz w:val="24"/>
        </w:rPr>
        <w:t>feel lonely (50%)</w:t>
      </w:r>
      <w:r w:rsidR="00CA1D04">
        <w:rPr>
          <w:sz w:val="24"/>
          <w:vertAlign w:val="superscript"/>
        </w:rPr>
        <w:t>1</w:t>
      </w:r>
      <w:r w:rsidR="00D969D6">
        <w:rPr>
          <w:sz w:val="24"/>
          <w:vertAlign w:val="superscript"/>
        </w:rPr>
        <w:t>0</w:t>
      </w:r>
    </w:p>
    <w:p w14:paraId="1E645AAB" w14:textId="4619BE3C" w:rsidR="00520ADE" w:rsidRPr="00994944" w:rsidRDefault="006E234A" w:rsidP="00E3623D">
      <w:pPr>
        <w:pStyle w:val="ListParagraph"/>
        <w:numPr>
          <w:ilvl w:val="1"/>
          <w:numId w:val="18"/>
        </w:numPr>
        <w:tabs>
          <w:tab w:val="left" w:pos="860"/>
          <w:tab w:val="left" w:pos="861"/>
        </w:tabs>
        <w:ind w:left="709" w:right="1435" w:hanging="283"/>
        <w:rPr>
          <w:sz w:val="24"/>
        </w:rPr>
      </w:pPr>
      <w:r>
        <w:rPr>
          <w:sz w:val="24"/>
        </w:rPr>
        <w:t>65% of carers agreed that the cost of living</w:t>
      </w:r>
      <w:r w:rsidR="00AA253D">
        <w:rPr>
          <w:sz w:val="24"/>
        </w:rPr>
        <w:t xml:space="preserve"> was </w:t>
      </w:r>
      <w:r w:rsidR="00735176">
        <w:rPr>
          <w:sz w:val="24"/>
        </w:rPr>
        <w:t xml:space="preserve">having a negative </w:t>
      </w:r>
      <w:r w:rsidR="002A71A9">
        <w:rPr>
          <w:sz w:val="24"/>
        </w:rPr>
        <w:t>impact on their physical and or mental health</w:t>
      </w:r>
      <w:r w:rsidR="008876B7" w:rsidRPr="008876B7">
        <w:rPr>
          <w:sz w:val="24"/>
          <w:vertAlign w:val="superscript"/>
        </w:rPr>
        <w:t>10</w:t>
      </w:r>
    </w:p>
    <w:p w14:paraId="58480F6C" w14:textId="6806D620" w:rsidR="00520ADE" w:rsidRDefault="000F20D6" w:rsidP="00E3623D">
      <w:pPr>
        <w:pStyle w:val="ListParagraph"/>
        <w:numPr>
          <w:ilvl w:val="1"/>
          <w:numId w:val="18"/>
        </w:numPr>
        <w:ind w:left="709" w:right="1435" w:hanging="283"/>
        <w:rPr>
          <w:sz w:val="24"/>
        </w:rPr>
      </w:pPr>
      <w:r w:rsidRPr="000F20D6">
        <w:rPr>
          <w:sz w:val="24"/>
        </w:rPr>
        <w:t>68% of carers with bad or very bad mental health are living with a sense of fear or dread.</w:t>
      </w:r>
      <w:r w:rsidR="004659ED" w:rsidRPr="00A6522A">
        <w:rPr>
          <w:sz w:val="24"/>
          <w:vertAlign w:val="superscript"/>
        </w:rPr>
        <w:t>10</w:t>
      </w:r>
      <w:r w:rsidRPr="00A6522A">
        <w:rPr>
          <w:sz w:val="24"/>
          <w:vertAlign w:val="superscript"/>
        </w:rPr>
        <w:t xml:space="preserve"> </w:t>
      </w:r>
    </w:p>
    <w:p w14:paraId="589A7285" w14:textId="73E5AC71" w:rsidR="008E43FE" w:rsidRDefault="00E31A67" w:rsidP="00E3623D">
      <w:pPr>
        <w:pStyle w:val="ListParagraph"/>
        <w:numPr>
          <w:ilvl w:val="1"/>
          <w:numId w:val="18"/>
        </w:numPr>
        <w:ind w:left="709" w:right="1435" w:hanging="283"/>
        <w:rPr>
          <w:sz w:val="24"/>
        </w:rPr>
      </w:pPr>
      <w:r>
        <w:rPr>
          <w:sz w:val="24"/>
        </w:rPr>
        <w:t>1 in 5 (</w:t>
      </w:r>
      <w:r w:rsidR="008E43FE" w:rsidRPr="008E43FE">
        <w:rPr>
          <w:sz w:val="24"/>
        </w:rPr>
        <w:t>21%</w:t>
      </w:r>
      <w:r>
        <w:rPr>
          <w:sz w:val="24"/>
        </w:rPr>
        <w:t>)</w:t>
      </w:r>
      <w:r w:rsidR="008E43FE" w:rsidRPr="008E43FE">
        <w:rPr>
          <w:sz w:val="24"/>
        </w:rPr>
        <w:t xml:space="preserve"> </w:t>
      </w:r>
      <w:r w:rsidR="008E43FE">
        <w:rPr>
          <w:sz w:val="24"/>
        </w:rPr>
        <w:t xml:space="preserve">of carers </w:t>
      </w:r>
      <w:r w:rsidR="008E43FE" w:rsidRPr="008E43FE">
        <w:rPr>
          <w:sz w:val="24"/>
        </w:rPr>
        <w:t xml:space="preserve">had to leave their job or reduce working hours </w:t>
      </w:r>
      <w:r>
        <w:rPr>
          <w:sz w:val="24"/>
        </w:rPr>
        <w:t>due to</w:t>
      </w:r>
      <w:r w:rsidR="008E43FE" w:rsidRPr="008E43FE">
        <w:rPr>
          <w:sz w:val="24"/>
        </w:rPr>
        <w:t xml:space="preserve"> poor mental health </w:t>
      </w:r>
      <w:r w:rsidR="00853E29">
        <w:rPr>
          <w:sz w:val="24"/>
        </w:rPr>
        <w:t xml:space="preserve">affecting </w:t>
      </w:r>
      <w:r w:rsidR="008E43FE" w:rsidRPr="00E31A67">
        <w:rPr>
          <w:sz w:val="24"/>
        </w:rPr>
        <w:t xml:space="preserve">ability to care, while 16% </w:t>
      </w:r>
      <w:r w:rsidR="008E43FE" w:rsidRPr="00BD5F63">
        <w:rPr>
          <w:sz w:val="24"/>
        </w:rPr>
        <w:t>had to take time off paid employment.</w:t>
      </w:r>
      <w:r w:rsidR="004659ED" w:rsidRPr="004659ED">
        <w:rPr>
          <w:sz w:val="24"/>
          <w:vertAlign w:val="superscript"/>
        </w:rPr>
        <w:t>10</w:t>
      </w:r>
    </w:p>
    <w:p w14:paraId="460F9F71" w14:textId="46CC704C" w:rsidR="00054EB3" w:rsidRPr="00BD5F63" w:rsidRDefault="00054EB3" w:rsidP="00E3623D">
      <w:pPr>
        <w:pStyle w:val="ListParagraph"/>
        <w:numPr>
          <w:ilvl w:val="1"/>
          <w:numId w:val="18"/>
        </w:numPr>
        <w:ind w:left="709" w:right="1435" w:hanging="283"/>
        <w:rPr>
          <w:sz w:val="24"/>
        </w:rPr>
      </w:pPr>
      <w:r>
        <w:rPr>
          <w:sz w:val="24"/>
        </w:rPr>
        <w:t xml:space="preserve">Over half </w:t>
      </w:r>
      <w:r w:rsidR="00AF058A">
        <w:rPr>
          <w:sz w:val="24"/>
        </w:rPr>
        <w:t>of carers</w:t>
      </w:r>
      <w:r>
        <w:rPr>
          <w:sz w:val="24"/>
        </w:rPr>
        <w:t xml:space="preserve"> </w:t>
      </w:r>
      <w:r w:rsidR="00AF058A">
        <w:rPr>
          <w:sz w:val="24"/>
        </w:rPr>
        <w:t>(</w:t>
      </w:r>
      <w:r w:rsidRPr="00054EB3">
        <w:rPr>
          <w:sz w:val="24"/>
        </w:rPr>
        <w:t>54%</w:t>
      </w:r>
      <w:r w:rsidR="00AF058A">
        <w:rPr>
          <w:sz w:val="24"/>
        </w:rPr>
        <w:t>)</w:t>
      </w:r>
      <w:r w:rsidRPr="00054EB3">
        <w:rPr>
          <w:sz w:val="24"/>
        </w:rPr>
        <w:t xml:space="preserve"> physical health had suffered, and 22% </w:t>
      </w:r>
      <w:r w:rsidR="00AF058A">
        <w:rPr>
          <w:sz w:val="24"/>
        </w:rPr>
        <w:t>reported t</w:t>
      </w:r>
      <w:r w:rsidRPr="00054EB3">
        <w:rPr>
          <w:sz w:val="24"/>
        </w:rPr>
        <w:t>hat caring had caused them injuries.</w:t>
      </w:r>
      <w:r w:rsidR="004659ED" w:rsidRPr="004659ED">
        <w:rPr>
          <w:sz w:val="24"/>
          <w:vertAlign w:val="superscript"/>
        </w:rPr>
        <w:t>10</w:t>
      </w:r>
    </w:p>
    <w:p w14:paraId="4DA9F954" w14:textId="77777777" w:rsidR="000F20D6" w:rsidRPr="000F20D6" w:rsidRDefault="000F20D6" w:rsidP="00296F5B">
      <w:pPr>
        <w:pStyle w:val="ListParagraph"/>
        <w:ind w:left="142" w:right="1435" w:firstLine="0"/>
        <w:rPr>
          <w:sz w:val="24"/>
        </w:rPr>
      </w:pPr>
    </w:p>
    <w:p w14:paraId="1EB3169B" w14:textId="7F0E84F5" w:rsidR="00514188" w:rsidRDefault="00D17A4B" w:rsidP="00296F5B">
      <w:pPr>
        <w:pStyle w:val="BodyText"/>
        <w:ind w:left="142" w:right="1435"/>
        <w:jc w:val="both"/>
      </w:pPr>
      <w:r w:rsidRPr="00994944">
        <w:t xml:space="preserve">Care managers should explain to people with dementia and their carers that they have the right to receive direct payments and individual budgets. However, as many people with dementia and their carers may find this difficult to manage additional support should be offered. People with dementia and their carers should be informed about the statutory difference between NHS care and care provided by local authority social services (adult services) so that they can make informed decisions about their eligibility for NHS Continuing Care. Social care and healthcare staff should identify the specific needs of people with dementia and the carers arising from diversity, including gender, sexuality, ethnicity, age and religion. These needs should be recorded in care plans and addressed by actions. When people with dementia lack capacity, decisions made </w:t>
      </w:r>
      <w:r w:rsidRPr="00994944">
        <w:lastRenderedPageBreak/>
        <w:t>on their behalf under the Mental Capacity Act 2005 and should be made in line with the accompanying code of</w:t>
      </w:r>
      <w:r w:rsidRPr="009D33A6">
        <w:t xml:space="preserve"> </w:t>
      </w:r>
      <w:r w:rsidRPr="00994944">
        <w:t>practice.</w:t>
      </w:r>
    </w:p>
    <w:p w14:paraId="7CF96100" w14:textId="77777777" w:rsidR="00177CDF" w:rsidRPr="00994944" w:rsidRDefault="00177CDF" w:rsidP="00296F5B">
      <w:pPr>
        <w:pStyle w:val="BodyText"/>
        <w:ind w:left="142" w:right="1435"/>
        <w:jc w:val="both"/>
      </w:pPr>
    </w:p>
    <w:p w14:paraId="79DFCB7B" w14:textId="0E897398" w:rsidR="00177CDF" w:rsidRDefault="00D17A4B" w:rsidP="00296F5B">
      <w:pPr>
        <w:pStyle w:val="BodyText"/>
        <w:ind w:left="142" w:right="1435"/>
        <w:jc w:val="both"/>
      </w:pPr>
      <w:r w:rsidRPr="00994944">
        <w:t>Social support is critical to maintaining an ind</w:t>
      </w:r>
      <w:r w:rsidR="00C54205" w:rsidRPr="00994944">
        <w:t xml:space="preserve">ividual with dementia in their </w:t>
      </w:r>
      <w:r w:rsidRPr="00994944">
        <w:t>community and supporting their carer(s). Health and social care staff should ensure that the care of people with dementia and support for their carers is planned and provided within the framework of care management/coordination. Care managers and care co-ordinators should ensure a co-ordinated approach to delivery of health and social</w:t>
      </w:r>
      <w:r w:rsidRPr="00994944">
        <w:rPr>
          <w:spacing w:val="-1"/>
        </w:rPr>
        <w:t xml:space="preserve"> </w:t>
      </w:r>
      <w:r w:rsidRPr="00994944">
        <w:t>care.</w:t>
      </w:r>
    </w:p>
    <w:p w14:paraId="4E0EC124" w14:textId="77777777" w:rsidR="00F42583" w:rsidRPr="00994944" w:rsidRDefault="00F42583" w:rsidP="00296F5B">
      <w:pPr>
        <w:pStyle w:val="BodyText"/>
        <w:ind w:left="142" w:right="1435"/>
        <w:jc w:val="both"/>
      </w:pPr>
    </w:p>
    <w:p w14:paraId="3DE05A0C" w14:textId="524936A7" w:rsidR="00177CDF" w:rsidRDefault="00D17A4B" w:rsidP="00296F5B">
      <w:pPr>
        <w:pStyle w:val="BodyText"/>
        <w:ind w:left="142" w:right="1435"/>
        <w:jc w:val="both"/>
      </w:pPr>
      <w:r w:rsidRPr="00994944">
        <w:t>Evidence has suggested that the emotional and spiritual needs of people with dementia are disproportionately neglected. While cognition declines and the person with dementia may become withdrawn, it is still possible for them to be distressed or upset. Depression can be difficult to recognise in advanced dementia. A holistic approach to care demands that there is an awareness of each person's wishes and needs as an individual.</w:t>
      </w:r>
    </w:p>
    <w:p w14:paraId="09B59051" w14:textId="77777777" w:rsidR="00F42583" w:rsidRPr="00994944" w:rsidRDefault="00F42583" w:rsidP="00296F5B">
      <w:pPr>
        <w:pStyle w:val="BodyText"/>
        <w:ind w:left="142" w:right="1435"/>
        <w:jc w:val="both"/>
      </w:pPr>
    </w:p>
    <w:p w14:paraId="2A4E0FA6" w14:textId="56924448" w:rsidR="009F5AFC" w:rsidRDefault="00D17A4B" w:rsidP="00296F5B">
      <w:pPr>
        <w:pStyle w:val="BodyText"/>
        <w:ind w:left="142" w:right="1435"/>
        <w:jc w:val="both"/>
      </w:pPr>
      <w:r w:rsidRPr="00994944">
        <w:t xml:space="preserve">It is important that these needs are understood and met, where this is appropriate. Making sure the person is </w:t>
      </w:r>
      <w:r w:rsidR="000B17A2" w:rsidRPr="00994944">
        <w:t>comfortable,</w:t>
      </w:r>
      <w:r w:rsidRPr="00994944">
        <w:t xml:space="preserve"> and minimising distress is an important part of care. It is also important to consider whether the person would like spiritual support.</w:t>
      </w:r>
    </w:p>
    <w:p w14:paraId="32B2E6F9" w14:textId="77777777" w:rsidR="00296F5B" w:rsidRPr="00946A8C" w:rsidRDefault="00296F5B" w:rsidP="00296F5B">
      <w:pPr>
        <w:pStyle w:val="BodyText"/>
        <w:ind w:left="142" w:right="1435"/>
        <w:jc w:val="both"/>
      </w:pPr>
    </w:p>
    <w:p w14:paraId="0FBB22CF" w14:textId="77777777" w:rsidR="00520ADE" w:rsidRDefault="00520ADE">
      <w:pPr>
        <w:pStyle w:val="BodyText"/>
        <w:spacing w:before="4"/>
        <w:rPr>
          <w:i/>
          <w:sz w:val="20"/>
        </w:rPr>
      </w:pPr>
    </w:p>
    <w:p w14:paraId="193307F7" w14:textId="7DF6333F" w:rsidR="00520ADE" w:rsidRPr="00CF6C37" w:rsidRDefault="00296F5B" w:rsidP="00E04883">
      <w:pPr>
        <w:pStyle w:val="Heading1"/>
        <w:tabs>
          <w:tab w:val="left" w:pos="861"/>
        </w:tabs>
        <w:jc w:val="both"/>
        <w:rPr>
          <w:sz w:val="24"/>
          <w:szCs w:val="24"/>
          <w:u w:val="single"/>
        </w:rPr>
      </w:pPr>
      <w:bookmarkStart w:id="33" w:name="_Toc236218971"/>
      <w:r w:rsidRPr="00CF6C37">
        <w:rPr>
          <w:sz w:val="24"/>
          <w:szCs w:val="24"/>
          <w:u w:val="single"/>
        </w:rPr>
        <w:t>10.0</w:t>
      </w:r>
      <w:r w:rsidRPr="00CF6C37">
        <w:rPr>
          <w:sz w:val="24"/>
          <w:szCs w:val="24"/>
          <w:u w:val="single"/>
        </w:rPr>
        <w:tab/>
        <w:t xml:space="preserve">END OF LIFE CARE </w:t>
      </w:r>
      <w:r w:rsidR="009569FE">
        <w:rPr>
          <w:sz w:val="24"/>
          <w:szCs w:val="24"/>
          <w:u w:val="single"/>
          <w:vertAlign w:val="superscript"/>
        </w:rPr>
        <w:t>11</w:t>
      </w:r>
      <w:bookmarkEnd w:id="33"/>
    </w:p>
    <w:p w14:paraId="55C53B03" w14:textId="77777777" w:rsidR="00520ADE" w:rsidRDefault="00520ADE">
      <w:pPr>
        <w:pStyle w:val="BodyText"/>
        <w:spacing w:before="10"/>
        <w:rPr>
          <w:b/>
          <w:sz w:val="20"/>
        </w:rPr>
      </w:pPr>
    </w:p>
    <w:p w14:paraId="509CD2A3" w14:textId="2EFBDFE4" w:rsidR="0065360C" w:rsidRDefault="00D17A4B" w:rsidP="00CF6C37">
      <w:pPr>
        <w:pStyle w:val="BodyText"/>
        <w:ind w:left="140" w:right="1445"/>
        <w:jc w:val="both"/>
      </w:pPr>
      <w:r>
        <w:t xml:space="preserve">The </w:t>
      </w:r>
      <w:r w:rsidR="007E50F9">
        <w:t>End-of-life</w:t>
      </w:r>
      <w:r>
        <w:t xml:space="preserve"> care strategy suggests 'although every individual may have a different idea about what would, for them, constitute a "good death", for many this would involve:</w:t>
      </w:r>
    </w:p>
    <w:p w14:paraId="19FFA240" w14:textId="77777777" w:rsidR="0065360C" w:rsidRPr="00D44C5B" w:rsidRDefault="0065360C" w:rsidP="00296F5B">
      <w:pPr>
        <w:pStyle w:val="ListParagraph"/>
        <w:numPr>
          <w:ilvl w:val="1"/>
          <w:numId w:val="18"/>
        </w:numPr>
        <w:tabs>
          <w:tab w:val="left" w:pos="860"/>
          <w:tab w:val="left" w:pos="861"/>
        </w:tabs>
        <w:ind w:left="851" w:rightChars="1435" w:right="3157" w:hanging="284"/>
        <w:rPr>
          <w:sz w:val="24"/>
        </w:rPr>
      </w:pPr>
      <w:r w:rsidRPr="00D44C5B">
        <w:rPr>
          <w:sz w:val="24"/>
        </w:rPr>
        <w:t>being treated as an individual, with dignity and respect</w:t>
      </w:r>
    </w:p>
    <w:p w14:paraId="7F00253F" w14:textId="77777777" w:rsidR="0065360C" w:rsidRPr="00D44C5B" w:rsidRDefault="0065360C" w:rsidP="00296F5B">
      <w:pPr>
        <w:pStyle w:val="ListParagraph"/>
        <w:numPr>
          <w:ilvl w:val="1"/>
          <w:numId w:val="18"/>
        </w:numPr>
        <w:tabs>
          <w:tab w:val="left" w:pos="860"/>
          <w:tab w:val="left" w:pos="861"/>
        </w:tabs>
        <w:ind w:left="851" w:rightChars="1435" w:right="3157" w:hanging="284"/>
        <w:rPr>
          <w:sz w:val="24"/>
        </w:rPr>
      </w:pPr>
      <w:r w:rsidRPr="00D44C5B">
        <w:rPr>
          <w:sz w:val="24"/>
        </w:rPr>
        <w:t>being without pain and other symptoms</w:t>
      </w:r>
    </w:p>
    <w:p w14:paraId="43A1E456" w14:textId="77777777" w:rsidR="0065360C" w:rsidRPr="00D44C5B" w:rsidRDefault="0065360C" w:rsidP="00296F5B">
      <w:pPr>
        <w:pStyle w:val="ListParagraph"/>
        <w:numPr>
          <w:ilvl w:val="1"/>
          <w:numId w:val="18"/>
        </w:numPr>
        <w:tabs>
          <w:tab w:val="left" w:pos="860"/>
          <w:tab w:val="left" w:pos="861"/>
        </w:tabs>
        <w:ind w:left="851" w:rightChars="1435" w:right="3157" w:hanging="284"/>
        <w:rPr>
          <w:sz w:val="24"/>
        </w:rPr>
      </w:pPr>
      <w:r w:rsidRPr="00D44C5B">
        <w:rPr>
          <w:sz w:val="24"/>
        </w:rPr>
        <w:t>being in familiar surroundings</w:t>
      </w:r>
    </w:p>
    <w:p w14:paraId="34C19A39" w14:textId="77777777" w:rsidR="0065360C" w:rsidRPr="00D44C5B" w:rsidRDefault="0065360C" w:rsidP="00296F5B">
      <w:pPr>
        <w:pStyle w:val="ListParagraph"/>
        <w:numPr>
          <w:ilvl w:val="1"/>
          <w:numId w:val="18"/>
        </w:numPr>
        <w:tabs>
          <w:tab w:val="left" w:pos="860"/>
          <w:tab w:val="left" w:pos="861"/>
        </w:tabs>
        <w:ind w:left="851" w:rightChars="1435" w:right="3157" w:hanging="284"/>
        <w:rPr>
          <w:sz w:val="24"/>
        </w:rPr>
      </w:pPr>
      <w:r w:rsidRPr="00D44C5B">
        <w:rPr>
          <w:sz w:val="24"/>
        </w:rPr>
        <w:t>being in the company of close family and/or friends</w:t>
      </w:r>
    </w:p>
    <w:p w14:paraId="298CF1A8" w14:textId="77777777" w:rsidR="00296F5B" w:rsidRDefault="00296F5B" w:rsidP="00CF6C37">
      <w:pPr>
        <w:pStyle w:val="BodyText"/>
        <w:rPr>
          <w:sz w:val="21"/>
        </w:rPr>
      </w:pPr>
    </w:p>
    <w:p w14:paraId="1699444D" w14:textId="4063B6F2" w:rsidR="00520ADE" w:rsidRDefault="00D17A4B" w:rsidP="00296F5B">
      <w:pPr>
        <w:pStyle w:val="BodyText"/>
        <w:ind w:left="142" w:right="1434"/>
        <w:jc w:val="both"/>
      </w:pPr>
      <w:r>
        <w:t xml:space="preserve">Advance care planning is a key element of effective end of life care for dementia patients, especially given the progressive loss of mental capacity during disease progression. Diminishing capacity becomes a particular problem in </w:t>
      </w:r>
      <w:r w:rsidR="00296F5B">
        <w:t>end-of-life</w:t>
      </w:r>
      <w:r>
        <w:t xml:space="preserve"> care for people with dementia. In cases where a person still has capacity, they would be involved in the decision to shift from treating the condition to palliative care, along with decisions such as where they would like to die and what treatments they wish to receive. However, where capacity to make these decisions is lost, as is often the case for people with dementia, this is no longer </w:t>
      </w:r>
      <w:r w:rsidR="00720796">
        <w:t>possible,</w:t>
      </w:r>
      <w:r>
        <w:t xml:space="preserve"> and decisions will have to be made on their</w:t>
      </w:r>
      <w:r>
        <w:rPr>
          <w:spacing w:val="-5"/>
        </w:rPr>
        <w:t xml:space="preserve"> </w:t>
      </w:r>
      <w:r>
        <w:t>behalf.</w:t>
      </w:r>
    </w:p>
    <w:p w14:paraId="440514D7" w14:textId="77777777" w:rsidR="00296F5B" w:rsidRDefault="00296F5B" w:rsidP="00296F5B">
      <w:pPr>
        <w:pStyle w:val="BodyText"/>
        <w:ind w:left="142" w:right="1434"/>
        <w:jc w:val="both"/>
      </w:pPr>
    </w:p>
    <w:p w14:paraId="10DDF473" w14:textId="2627EA6B" w:rsidR="00520ADE" w:rsidRDefault="00D17A4B" w:rsidP="00CF6C37">
      <w:pPr>
        <w:pStyle w:val="BodyText"/>
        <w:ind w:left="142" w:right="1437"/>
        <w:jc w:val="both"/>
      </w:pPr>
      <w:r>
        <w:t xml:space="preserve">The clinical value of advance planning for </w:t>
      </w:r>
      <w:r w:rsidR="00296F5B">
        <w:t>end-of-life</w:t>
      </w:r>
      <w:r>
        <w:t xml:space="preserve"> care is also clear. Evidence suggests that advanced care plans drawn up in primary care could help reduce unplanned hospital admissions as more was understood about the person's wishes should they need to be hospitalised.</w:t>
      </w:r>
    </w:p>
    <w:p w14:paraId="2DF79547" w14:textId="77777777" w:rsidR="00520ADE" w:rsidRDefault="00520ADE">
      <w:pPr>
        <w:spacing w:line="276" w:lineRule="auto"/>
        <w:jc w:val="both"/>
      </w:pPr>
    </w:p>
    <w:p w14:paraId="75B51653" w14:textId="77777777" w:rsidR="00EE7ACA" w:rsidRDefault="00EE7ACA">
      <w:pPr>
        <w:spacing w:line="276" w:lineRule="auto"/>
        <w:jc w:val="both"/>
      </w:pPr>
    </w:p>
    <w:p w14:paraId="5664A35E" w14:textId="77777777" w:rsidR="00EE7ACA" w:rsidRDefault="00EE7ACA">
      <w:pPr>
        <w:spacing w:line="276" w:lineRule="auto"/>
        <w:jc w:val="both"/>
      </w:pPr>
    </w:p>
    <w:p w14:paraId="0E2692CC" w14:textId="77777777" w:rsidR="007B6F9F" w:rsidRDefault="007B6F9F" w:rsidP="00CF6C37">
      <w:pPr>
        <w:jc w:val="both"/>
      </w:pPr>
    </w:p>
    <w:p w14:paraId="78DA52F4" w14:textId="7B2C8BED" w:rsidR="007B6F9F" w:rsidRPr="00CF6C37" w:rsidRDefault="00296F5B" w:rsidP="00296F5B">
      <w:pPr>
        <w:pStyle w:val="Heading1"/>
        <w:rPr>
          <w:sz w:val="24"/>
          <w:szCs w:val="24"/>
          <w:u w:val="single"/>
        </w:rPr>
      </w:pPr>
      <w:bookmarkStart w:id="34" w:name="_Toc236218972"/>
      <w:r w:rsidRPr="00296F5B">
        <w:rPr>
          <w:sz w:val="24"/>
          <w:szCs w:val="24"/>
          <w:u w:val="single"/>
        </w:rPr>
        <w:t>11.0    COMMUNITY, PATIENT AND STAKEHOLDER VIEWS</w:t>
      </w:r>
      <w:bookmarkEnd w:id="34"/>
      <w:r w:rsidRPr="00296F5B">
        <w:rPr>
          <w:sz w:val="24"/>
          <w:szCs w:val="24"/>
          <w:u w:val="single"/>
        </w:rPr>
        <w:t xml:space="preserve"> </w:t>
      </w:r>
    </w:p>
    <w:p w14:paraId="40F5C180" w14:textId="77777777" w:rsidR="007B6F9F" w:rsidRDefault="007B6F9F" w:rsidP="00CF6C37">
      <w:pPr>
        <w:jc w:val="both"/>
      </w:pPr>
    </w:p>
    <w:p w14:paraId="5BEFBB76" w14:textId="77777777" w:rsidR="004B2E9F" w:rsidRDefault="004B2E9F" w:rsidP="00CF6C37">
      <w:pPr>
        <w:jc w:val="both"/>
      </w:pPr>
    </w:p>
    <w:p w14:paraId="0C8E23CD" w14:textId="3B84AFCF" w:rsidR="004B2E9F" w:rsidRPr="00540885" w:rsidRDefault="004B2E9F" w:rsidP="00296F5B">
      <w:pPr>
        <w:ind w:left="142" w:right="1435"/>
        <w:jc w:val="both"/>
        <w:rPr>
          <w:sz w:val="24"/>
          <w:szCs w:val="24"/>
        </w:rPr>
      </w:pPr>
      <w:r w:rsidRPr="00540885">
        <w:rPr>
          <w:sz w:val="24"/>
          <w:szCs w:val="24"/>
        </w:rPr>
        <w:t xml:space="preserve">From 1st April 2024- 31st March 2025 the Older Adult Community Hub received 160 </w:t>
      </w:r>
      <w:r w:rsidRPr="00540885">
        <w:rPr>
          <w:sz w:val="24"/>
          <w:szCs w:val="24"/>
        </w:rPr>
        <w:lastRenderedPageBreak/>
        <w:t>Friends and Family test response</w:t>
      </w:r>
      <w:r w:rsidR="004F19FC" w:rsidRPr="00540885">
        <w:rPr>
          <w:sz w:val="24"/>
          <w:szCs w:val="24"/>
        </w:rPr>
        <w:t>s of which</w:t>
      </w:r>
      <w:r w:rsidRPr="00540885">
        <w:rPr>
          <w:sz w:val="24"/>
          <w:szCs w:val="24"/>
        </w:rPr>
        <w:t xml:space="preserve"> 97% </w:t>
      </w:r>
      <w:r w:rsidR="004F19FC" w:rsidRPr="00540885">
        <w:rPr>
          <w:sz w:val="24"/>
          <w:szCs w:val="24"/>
        </w:rPr>
        <w:t xml:space="preserve">were </w:t>
      </w:r>
      <w:r w:rsidRPr="00540885">
        <w:rPr>
          <w:sz w:val="24"/>
          <w:szCs w:val="24"/>
        </w:rPr>
        <w:t>positive.</w:t>
      </w:r>
      <w:r w:rsidR="004F19FC" w:rsidRPr="00540885">
        <w:rPr>
          <w:sz w:val="24"/>
          <w:szCs w:val="24"/>
        </w:rPr>
        <w:t xml:space="preserve"> A sample of qualitative feedback is:</w:t>
      </w:r>
    </w:p>
    <w:p w14:paraId="44002340" w14:textId="77777777" w:rsidR="004B2E9F" w:rsidRPr="00540885" w:rsidRDefault="004B2E9F" w:rsidP="00296F5B">
      <w:pPr>
        <w:ind w:left="142" w:right="1435"/>
        <w:jc w:val="both"/>
        <w:rPr>
          <w:sz w:val="24"/>
          <w:szCs w:val="24"/>
        </w:rPr>
      </w:pPr>
    </w:p>
    <w:p w14:paraId="5455156E" w14:textId="67325051" w:rsidR="004B2E9F" w:rsidRPr="00540885" w:rsidRDefault="004B2E9F" w:rsidP="00296F5B">
      <w:pPr>
        <w:pStyle w:val="ListParagraph"/>
        <w:numPr>
          <w:ilvl w:val="2"/>
          <w:numId w:val="2"/>
        </w:numPr>
        <w:ind w:left="924" w:right="1435" w:hanging="357"/>
        <w:jc w:val="both"/>
        <w:rPr>
          <w:sz w:val="24"/>
          <w:szCs w:val="24"/>
        </w:rPr>
      </w:pPr>
      <w:r w:rsidRPr="00540885">
        <w:rPr>
          <w:sz w:val="24"/>
          <w:szCs w:val="24"/>
        </w:rPr>
        <w:t xml:space="preserve">Service received from </w:t>
      </w:r>
      <w:r w:rsidR="004F19FC" w:rsidRPr="00540885">
        <w:rPr>
          <w:sz w:val="24"/>
          <w:szCs w:val="24"/>
        </w:rPr>
        <w:t>W</w:t>
      </w:r>
      <w:r w:rsidRPr="00540885">
        <w:rPr>
          <w:sz w:val="24"/>
          <w:szCs w:val="24"/>
        </w:rPr>
        <w:t xml:space="preserve">illow </w:t>
      </w:r>
      <w:r w:rsidR="004F19FC" w:rsidRPr="00540885">
        <w:rPr>
          <w:sz w:val="24"/>
          <w:szCs w:val="24"/>
        </w:rPr>
        <w:t>H</w:t>
      </w:r>
      <w:r w:rsidRPr="00540885">
        <w:rPr>
          <w:sz w:val="24"/>
          <w:szCs w:val="24"/>
        </w:rPr>
        <w:t>ouse team was quick and efficient, staff were very friendly and informative, very helpful support is on hand from the team of nurses and support staff</w:t>
      </w:r>
    </w:p>
    <w:p w14:paraId="5F240C3A" w14:textId="547EDBF0" w:rsidR="004B2E9F" w:rsidRPr="00540885" w:rsidRDefault="004B2E9F" w:rsidP="00296F5B">
      <w:pPr>
        <w:pStyle w:val="ListParagraph"/>
        <w:numPr>
          <w:ilvl w:val="2"/>
          <w:numId w:val="2"/>
        </w:numPr>
        <w:ind w:left="924" w:right="1435" w:hanging="357"/>
        <w:jc w:val="both"/>
        <w:rPr>
          <w:sz w:val="24"/>
          <w:szCs w:val="24"/>
        </w:rPr>
      </w:pPr>
      <w:r w:rsidRPr="00540885">
        <w:rPr>
          <w:sz w:val="24"/>
          <w:szCs w:val="24"/>
        </w:rPr>
        <w:t xml:space="preserve">Our appointment today was </w:t>
      </w:r>
      <w:r w:rsidR="00540885" w:rsidRPr="00540885">
        <w:rPr>
          <w:sz w:val="24"/>
          <w:szCs w:val="24"/>
        </w:rPr>
        <w:t>insightful,</w:t>
      </w:r>
      <w:r w:rsidRPr="00540885">
        <w:rPr>
          <w:sz w:val="24"/>
          <w:szCs w:val="24"/>
        </w:rPr>
        <w:t xml:space="preserve"> and we are so glad to have a new plan in place for my </w:t>
      </w:r>
      <w:r w:rsidR="006C4C8F" w:rsidRPr="00540885">
        <w:rPr>
          <w:sz w:val="24"/>
          <w:szCs w:val="24"/>
        </w:rPr>
        <w:t>dad’s</w:t>
      </w:r>
      <w:r w:rsidRPr="00540885">
        <w:rPr>
          <w:sz w:val="24"/>
          <w:szCs w:val="24"/>
        </w:rPr>
        <w:t xml:space="preserve"> care. We feel relieved and supported.</w:t>
      </w:r>
    </w:p>
    <w:p w14:paraId="04F60329" w14:textId="55826DD4" w:rsidR="004B2E9F" w:rsidRPr="00540885" w:rsidRDefault="004B2E9F" w:rsidP="00296F5B">
      <w:pPr>
        <w:pStyle w:val="ListParagraph"/>
        <w:numPr>
          <w:ilvl w:val="2"/>
          <w:numId w:val="2"/>
        </w:numPr>
        <w:ind w:left="924" w:right="1435" w:hanging="357"/>
        <w:jc w:val="both"/>
        <w:rPr>
          <w:sz w:val="24"/>
          <w:szCs w:val="24"/>
        </w:rPr>
      </w:pPr>
      <w:r w:rsidRPr="00540885">
        <w:rPr>
          <w:sz w:val="24"/>
          <w:szCs w:val="24"/>
        </w:rPr>
        <w:t>Very professional staff and consultant explained everything quite clearly. Consultant took time to speak to my father and myself.</w:t>
      </w:r>
    </w:p>
    <w:p w14:paraId="6CE3F98F" w14:textId="038D39AD" w:rsidR="004B2E9F" w:rsidRPr="00540885" w:rsidRDefault="004B2E9F" w:rsidP="00296F5B">
      <w:pPr>
        <w:pStyle w:val="ListParagraph"/>
        <w:numPr>
          <w:ilvl w:val="2"/>
          <w:numId w:val="2"/>
        </w:numPr>
        <w:ind w:left="924" w:right="1435" w:hanging="357"/>
        <w:jc w:val="both"/>
        <w:rPr>
          <w:sz w:val="24"/>
          <w:szCs w:val="24"/>
        </w:rPr>
      </w:pPr>
      <w:r w:rsidRPr="00540885">
        <w:rPr>
          <w:sz w:val="24"/>
          <w:szCs w:val="24"/>
        </w:rPr>
        <w:t xml:space="preserve">It is a </w:t>
      </w:r>
      <w:r w:rsidR="001A388C" w:rsidRPr="00540885">
        <w:rPr>
          <w:sz w:val="24"/>
          <w:szCs w:val="24"/>
        </w:rPr>
        <w:t>supportive</w:t>
      </w:r>
      <w:r w:rsidRPr="00540885">
        <w:rPr>
          <w:sz w:val="24"/>
          <w:szCs w:val="24"/>
        </w:rPr>
        <w:t xml:space="preserve"> and caring service. Everyone I have met has made me feel better about my diagnosis and how I can live a good life</w:t>
      </w:r>
    </w:p>
    <w:p w14:paraId="00E9CF99" w14:textId="0B9962BB" w:rsidR="004B2E9F" w:rsidRPr="00540885" w:rsidRDefault="004B2E9F" w:rsidP="00296F5B">
      <w:pPr>
        <w:pStyle w:val="ListParagraph"/>
        <w:numPr>
          <w:ilvl w:val="2"/>
          <w:numId w:val="2"/>
        </w:numPr>
        <w:ind w:left="924" w:right="1435" w:hanging="357"/>
        <w:jc w:val="both"/>
        <w:rPr>
          <w:sz w:val="24"/>
          <w:szCs w:val="24"/>
        </w:rPr>
      </w:pPr>
      <w:r w:rsidRPr="00540885">
        <w:rPr>
          <w:sz w:val="24"/>
          <w:szCs w:val="24"/>
        </w:rPr>
        <w:t xml:space="preserve">Excellent service I was kept informed throughout, </w:t>
      </w:r>
      <w:r w:rsidR="00FD664B" w:rsidRPr="00540885">
        <w:rPr>
          <w:sz w:val="24"/>
          <w:szCs w:val="24"/>
        </w:rPr>
        <w:t>I</w:t>
      </w:r>
      <w:r w:rsidRPr="00540885">
        <w:rPr>
          <w:sz w:val="24"/>
          <w:szCs w:val="24"/>
        </w:rPr>
        <w:t xml:space="preserve"> have received fantastic service from the NHS for past years.</w:t>
      </w:r>
    </w:p>
    <w:p w14:paraId="24CDE2BF" w14:textId="77777777" w:rsidR="004B2E9F" w:rsidRPr="00540885" w:rsidRDefault="004B2E9F" w:rsidP="00296F5B">
      <w:pPr>
        <w:ind w:left="142" w:right="1435"/>
        <w:jc w:val="both"/>
        <w:rPr>
          <w:sz w:val="24"/>
          <w:szCs w:val="24"/>
        </w:rPr>
      </w:pPr>
    </w:p>
    <w:p w14:paraId="09807BC7" w14:textId="5BD4C317" w:rsidR="004B2E9F" w:rsidRPr="00540885" w:rsidRDefault="004B2E9F" w:rsidP="00296F5B">
      <w:pPr>
        <w:ind w:left="142" w:right="1435"/>
        <w:jc w:val="both"/>
        <w:rPr>
          <w:sz w:val="24"/>
          <w:szCs w:val="24"/>
        </w:rPr>
      </w:pPr>
      <w:r w:rsidRPr="00540885">
        <w:rPr>
          <w:sz w:val="24"/>
          <w:szCs w:val="24"/>
        </w:rPr>
        <w:t>Negative responses were related to the wait time to see their doctor on the day of the clinic appointment (not wait time in service)</w:t>
      </w:r>
      <w:r w:rsidR="009A74D5">
        <w:rPr>
          <w:sz w:val="24"/>
          <w:szCs w:val="24"/>
        </w:rPr>
        <w:t>.</w:t>
      </w:r>
    </w:p>
    <w:p w14:paraId="21193DBA" w14:textId="77777777" w:rsidR="004B2E9F" w:rsidRPr="00540885" w:rsidRDefault="004B2E9F" w:rsidP="00296F5B">
      <w:pPr>
        <w:ind w:left="142" w:right="1435"/>
        <w:jc w:val="both"/>
        <w:rPr>
          <w:sz w:val="24"/>
          <w:szCs w:val="24"/>
        </w:rPr>
      </w:pPr>
    </w:p>
    <w:p w14:paraId="6061BBC8" w14:textId="3FF86D51" w:rsidR="004B2E9F" w:rsidRDefault="00FD664B" w:rsidP="00296F5B">
      <w:pPr>
        <w:ind w:left="142" w:right="1435"/>
        <w:jc w:val="both"/>
        <w:rPr>
          <w:sz w:val="24"/>
          <w:szCs w:val="24"/>
        </w:rPr>
      </w:pPr>
      <w:r w:rsidRPr="00540885">
        <w:rPr>
          <w:sz w:val="24"/>
          <w:szCs w:val="24"/>
        </w:rPr>
        <w:t xml:space="preserve">Feedback provided from the Cognitive Stimulation Therapy (CST) groups was also overwhelmingly positive.  </w:t>
      </w:r>
      <w:r w:rsidR="00EB2A53" w:rsidRPr="00540885">
        <w:rPr>
          <w:sz w:val="24"/>
          <w:szCs w:val="24"/>
        </w:rPr>
        <w:t>The following quote highlights the power of the group in improving connection:</w:t>
      </w:r>
    </w:p>
    <w:p w14:paraId="320BC6F1" w14:textId="77777777" w:rsidR="009A74D5" w:rsidRPr="00540885" w:rsidRDefault="009A74D5" w:rsidP="00296F5B">
      <w:pPr>
        <w:ind w:left="142" w:right="1435"/>
        <w:jc w:val="both"/>
        <w:rPr>
          <w:sz w:val="24"/>
          <w:szCs w:val="24"/>
        </w:rPr>
      </w:pPr>
    </w:p>
    <w:p w14:paraId="206DDA7C" w14:textId="02C83057" w:rsidR="004B2E9F" w:rsidRPr="00540885" w:rsidRDefault="004B2E9F" w:rsidP="00296F5B">
      <w:pPr>
        <w:ind w:left="142" w:right="1435"/>
        <w:jc w:val="both"/>
        <w:rPr>
          <w:sz w:val="24"/>
          <w:szCs w:val="24"/>
        </w:rPr>
      </w:pPr>
      <w:r w:rsidRPr="00540885">
        <w:rPr>
          <w:sz w:val="24"/>
          <w:szCs w:val="24"/>
        </w:rPr>
        <w:t xml:space="preserve">“Seeing others like me, makes me feel less alone and in the same situation.   I feel I’ve improved a lot from talking, I can get my words out </w:t>
      </w:r>
      <w:r w:rsidR="004B7F5D" w:rsidRPr="00540885">
        <w:rPr>
          <w:sz w:val="24"/>
          <w:szCs w:val="24"/>
        </w:rPr>
        <w:t>better,</w:t>
      </w:r>
      <w:r w:rsidRPr="00540885">
        <w:rPr>
          <w:sz w:val="24"/>
          <w:szCs w:val="24"/>
        </w:rPr>
        <w:t xml:space="preserve"> I feel less ashamed of my difficulties as see others struggle and get through.   It has made a big difference to how I feel about myself and how I can move on from here.  I am finding my diagnosis difficult and feel a burden at times at home but here I don’t, I am just part of the group.”   </w:t>
      </w:r>
    </w:p>
    <w:p w14:paraId="39A3694B" w14:textId="77777777" w:rsidR="002F043F" w:rsidRPr="002F043F" w:rsidRDefault="002F043F" w:rsidP="00296F5B">
      <w:pPr>
        <w:ind w:right="1435"/>
        <w:jc w:val="both"/>
        <w:rPr>
          <w:sz w:val="24"/>
          <w:szCs w:val="24"/>
        </w:rPr>
      </w:pPr>
    </w:p>
    <w:p w14:paraId="47BC54FF" w14:textId="57427526" w:rsidR="002F043F" w:rsidRDefault="002F043F" w:rsidP="00296F5B">
      <w:pPr>
        <w:ind w:left="142" w:right="1435"/>
        <w:jc w:val="both"/>
        <w:rPr>
          <w:sz w:val="24"/>
          <w:szCs w:val="24"/>
        </w:rPr>
      </w:pPr>
      <w:r w:rsidRPr="00540885">
        <w:rPr>
          <w:sz w:val="24"/>
          <w:szCs w:val="24"/>
        </w:rPr>
        <w:t xml:space="preserve">The Halton </w:t>
      </w:r>
      <w:r w:rsidR="009A74D5">
        <w:rPr>
          <w:sz w:val="24"/>
          <w:szCs w:val="24"/>
        </w:rPr>
        <w:t>and</w:t>
      </w:r>
      <w:r w:rsidRPr="00540885">
        <w:rPr>
          <w:sz w:val="24"/>
          <w:szCs w:val="24"/>
        </w:rPr>
        <w:t xml:space="preserve"> Knowsley Admiral nurses service received 88 friends and family test responses; of which 99% were positive.  The following feedback was received:</w:t>
      </w:r>
    </w:p>
    <w:p w14:paraId="1F15A3EA" w14:textId="77777777" w:rsidR="002F043F" w:rsidRPr="00540885" w:rsidRDefault="002F043F" w:rsidP="00296F5B">
      <w:pPr>
        <w:ind w:left="142" w:right="1435"/>
        <w:jc w:val="both"/>
        <w:rPr>
          <w:sz w:val="24"/>
          <w:szCs w:val="24"/>
        </w:rPr>
      </w:pPr>
    </w:p>
    <w:p w14:paraId="1C3E035B" w14:textId="77777777" w:rsidR="002F043F" w:rsidRDefault="002F043F" w:rsidP="00296F5B">
      <w:pPr>
        <w:pStyle w:val="ListParagraph"/>
        <w:numPr>
          <w:ilvl w:val="2"/>
          <w:numId w:val="2"/>
        </w:numPr>
        <w:ind w:left="924" w:right="1435" w:hanging="357"/>
        <w:jc w:val="both"/>
        <w:rPr>
          <w:sz w:val="24"/>
          <w:szCs w:val="24"/>
        </w:rPr>
      </w:pPr>
      <w:r w:rsidRPr="00540885">
        <w:rPr>
          <w:sz w:val="24"/>
          <w:szCs w:val="24"/>
        </w:rPr>
        <w:t>Amazing support just when I needed it most. Service helped whole family, and we now have a more understanding approach towards my person living with dementia. Input has improved my mindset in how to respond to my mum (person living with dementia) I have been educated on dementia and informed of community support for carers and person living with dementia and KSS I now find it much easier to cope and my anxiety is reduced Thank you for your amazing service!</w:t>
      </w:r>
    </w:p>
    <w:p w14:paraId="1CBA6B53" w14:textId="77777777" w:rsidR="009A74D5" w:rsidRPr="00540885" w:rsidRDefault="009A74D5" w:rsidP="001A388C">
      <w:pPr>
        <w:pStyle w:val="ListParagraph"/>
        <w:ind w:left="924" w:right="1435" w:firstLine="0"/>
        <w:jc w:val="both"/>
        <w:rPr>
          <w:sz w:val="24"/>
          <w:szCs w:val="24"/>
        </w:rPr>
      </w:pPr>
    </w:p>
    <w:p w14:paraId="12136825" w14:textId="77777777" w:rsidR="002F043F" w:rsidRDefault="002F043F" w:rsidP="00296F5B">
      <w:pPr>
        <w:pStyle w:val="ListParagraph"/>
        <w:numPr>
          <w:ilvl w:val="2"/>
          <w:numId w:val="2"/>
        </w:numPr>
        <w:ind w:left="924" w:right="1435" w:hanging="357"/>
        <w:jc w:val="both"/>
        <w:rPr>
          <w:sz w:val="24"/>
          <w:szCs w:val="24"/>
        </w:rPr>
      </w:pPr>
      <w:r w:rsidRPr="00540885">
        <w:rPr>
          <w:sz w:val="24"/>
          <w:szCs w:val="24"/>
        </w:rPr>
        <w:t>Excellent service with very good advice. I highly recommend your service to anyone who need support</w:t>
      </w:r>
    </w:p>
    <w:p w14:paraId="38DB0C3C" w14:textId="77777777" w:rsidR="00296F5B" w:rsidRDefault="00296F5B" w:rsidP="001A388C">
      <w:pPr>
        <w:pStyle w:val="ListParagraph"/>
        <w:ind w:left="924" w:right="1435" w:firstLine="0"/>
        <w:jc w:val="both"/>
        <w:rPr>
          <w:sz w:val="24"/>
          <w:szCs w:val="24"/>
        </w:rPr>
      </w:pPr>
    </w:p>
    <w:p w14:paraId="3F8F6F2F" w14:textId="77777777" w:rsidR="002F043F" w:rsidRPr="00540885" w:rsidRDefault="002F043F" w:rsidP="002F043F">
      <w:pPr>
        <w:pStyle w:val="ListParagraph"/>
        <w:ind w:left="924" w:right="1435" w:firstLine="0"/>
        <w:jc w:val="both"/>
        <w:rPr>
          <w:sz w:val="24"/>
          <w:szCs w:val="24"/>
        </w:rPr>
      </w:pPr>
    </w:p>
    <w:p w14:paraId="174964CE" w14:textId="6BB67942" w:rsidR="00E43B7F" w:rsidRPr="001A388C" w:rsidRDefault="00296F5B" w:rsidP="00F90A77">
      <w:pPr>
        <w:pStyle w:val="Heading1"/>
        <w:rPr>
          <w:sz w:val="24"/>
          <w:szCs w:val="24"/>
          <w:u w:val="single"/>
        </w:rPr>
      </w:pPr>
      <w:bookmarkStart w:id="35" w:name="_Toc236218973"/>
      <w:r w:rsidRPr="00296F5B">
        <w:rPr>
          <w:sz w:val="24"/>
          <w:szCs w:val="24"/>
          <w:u w:val="single"/>
        </w:rPr>
        <w:t>12.0</w:t>
      </w:r>
      <w:r w:rsidRPr="00296F5B">
        <w:rPr>
          <w:sz w:val="24"/>
          <w:szCs w:val="24"/>
          <w:u w:val="single"/>
        </w:rPr>
        <w:tab/>
        <w:t>EVIDENCE OF WHAT WORKS</w:t>
      </w:r>
      <w:bookmarkEnd w:id="35"/>
      <w:r w:rsidRPr="00296F5B">
        <w:rPr>
          <w:sz w:val="24"/>
          <w:szCs w:val="24"/>
          <w:u w:val="single"/>
        </w:rPr>
        <w:t xml:space="preserve"> </w:t>
      </w:r>
    </w:p>
    <w:p w14:paraId="0769EBFC" w14:textId="77777777" w:rsidR="00F90A77" w:rsidRPr="007B6F9F" w:rsidRDefault="00F90A77" w:rsidP="003C547F">
      <w:pPr>
        <w:pStyle w:val="BodyText"/>
      </w:pPr>
    </w:p>
    <w:p w14:paraId="75ACF286" w14:textId="0C320196" w:rsidR="00520ADE" w:rsidRDefault="00F96876" w:rsidP="00F90A77">
      <w:pPr>
        <w:pStyle w:val="Heading2"/>
      </w:pPr>
      <w:bookmarkStart w:id="36" w:name="_Toc236218974"/>
      <w:r>
        <w:t>1</w:t>
      </w:r>
      <w:r w:rsidR="00323485">
        <w:t>2</w:t>
      </w:r>
      <w:r w:rsidR="00E43B7F">
        <w:t>.1</w:t>
      </w:r>
      <w:r w:rsidR="00E43B7F">
        <w:tab/>
      </w:r>
      <w:r w:rsidR="00D17A4B" w:rsidRPr="00E43B7F">
        <w:t>Diagnosis</w:t>
      </w:r>
      <w:bookmarkEnd w:id="36"/>
    </w:p>
    <w:p w14:paraId="44DFCBD6" w14:textId="77777777" w:rsidR="00F90A77" w:rsidRPr="00E43B7F" w:rsidRDefault="00F90A77" w:rsidP="004B7F5D">
      <w:pPr>
        <w:pStyle w:val="BodyText"/>
      </w:pPr>
    </w:p>
    <w:p w14:paraId="2D7E28DA" w14:textId="77777777" w:rsidR="00F6333D" w:rsidRDefault="00D17A4B" w:rsidP="004B7F5D">
      <w:pPr>
        <w:pStyle w:val="BodyText"/>
        <w:ind w:left="142" w:right="1435"/>
        <w:jc w:val="both"/>
      </w:pPr>
      <w:r>
        <w:t xml:space="preserve">There is evidence from economic modelling that the cost of an earlier dementia diagnosis and the downstream costs of providing evidence-based treatment may be more than offset by the cost savings accrued from the benefits of prescribing anti- dementia drugs and caregiver interventions, delayed institutionalisation and enhanced quality of life for people with dementia and their carers. </w:t>
      </w:r>
    </w:p>
    <w:p w14:paraId="041C25F8" w14:textId="77777777" w:rsidR="00F6333D" w:rsidRDefault="00F6333D" w:rsidP="004B7F5D">
      <w:pPr>
        <w:pStyle w:val="BodyText"/>
        <w:ind w:left="142" w:right="1435"/>
        <w:jc w:val="both"/>
      </w:pPr>
    </w:p>
    <w:p w14:paraId="06E0E7A8" w14:textId="04E13E66" w:rsidR="00520ADE" w:rsidRDefault="00D17A4B" w:rsidP="004B7F5D">
      <w:pPr>
        <w:pStyle w:val="BodyText"/>
        <w:ind w:left="142" w:right="1435"/>
        <w:jc w:val="both"/>
      </w:pPr>
      <w:r>
        <w:t xml:space="preserve">NICE guidelines state that a diagnosis of dementia should only be made after a comprehensive assessment, </w:t>
      </w:r>
      <w:r w:rsidR="00850BC4">
        <w:t>including</w:t>
      </w:r>
      <w:r>
        <w:t xml:space="preserve"> history taking, cognitive and mental state examination, physical examination; review of medication to identify any drugs that may impair cognitive functioning. Possible dementia sufferers may be asked whether they wish to know the diagnosis and with whom it should be shared. If dementia is mild or questionable, formal neuropsychological testing may be undertaken and at the time of diagnosis, and regularly afterwards, there is also a need to assess medical and psychiatric comorbidities, including depression and</w:t>
      </w:r>
      <w:r>
        <w:rPr>
          <w:spacing w:val="-3"/>
        </w:rPr>
        <w:t xml:space="preserve"> </w:t>
      </w:r>
      <w:r>
        <w:t>psychosis.</w:t>
      </w:r>
    </w:p>
    <w:p w14:paraId="7D23DDF0" w14:textId="6C0EC49E" w:rsidR="00520ADE" w:rsidRPr="00D008B9" w:rsidRDefault="00F96876">
      <w:pPr>
        <w:pStyle w:val="Heading2"/>
        <w:spacing w:before="199"/>
      </w:pPr>
      <w:bookmarkStart w:id="37" w:name="_Toc236218975"/>
      <w:r>
        <w:t>1</w:t>
      </w:r>
      <w:r w:rsidR="00323485">
        <w:t>2</w:t>
      </w:r>
      <w:r w:rsidR="00E43B7F">
        <w:t>.2</w:t>
      </w:r>
      <w:r w:rsidR="00E43B7F">
        <w:tab/>
      </w:r>
      <w:r w:rsidR="00D17A4B" w:rsidRPr="00D008B9">
        <w:t>Models of Care</w:t>
      </w:r>
      <w:bookmarkEnd w:id="37"/>
    </w:p>
    <w:p w14:paraId="64062C15" w14:textId="77777777" w:rsidR="00520ADE" w:rsidRDefault="00520ADE">
      <w:pPr>
        <w:pStyle w:val="BodyText"/>
        <w:spacing w:before="1"/>
        <w:rPr>
          <w:b/>
          <w:sz w:val="21"/>
        </w:rPr>
      </w:pPr>
    </w:p>
    <w:p w14:paraId="5BD6110C" w14:textId="7B5F4394" w:rsidR="00520ADE" w:rsidRDefault="00D17A4B" w:rsidP="00E93504">
      <w:pPr>
        <w:pStyle w:val="BodyText"/>
        <w:ind w:left="142" w:right="1435"/>
        <w:jc w:val="both"/>
      </w:pPr>
      <w:r>
        <w:t xml:space="preserve">Once someone has received a diagnosis of dementia there are a range of different types of support they and their families will need. If the condition is already advanced, some will </w:t>
      </w:r>
      <w:r w:rsidR="00D16B25">
        <w:t>need</w:t>
      </w:r>
      <w:r>
        <w:t xml:space="preserve"> health and care support straight away, while others may not have reached that point yet. However, everyone will need support, advice and help to understand what it means to have dementia, what they can do to live as well as possible with the condition and to enable them to </w:t>
      </w:r>
      <w:r w:rsidR="00850BC4">
        <w:t>plan</w:t>
      </w:r>
      <w:r>
        <w:t>. Examples of post-diagnosis help and support</w:t>
      </w:r>
      <w:r w:rsidRPr="00E93504">
        <w:t xml:space="preserve"> </w:t>
      </w:r>
      <w:r>
        <w:t>include:</w:t>
      </w:r>
    </w:p>
    <w:p w14:paraId="3E58D705" w14:textId="77777777" w:rsidR="00520ADE" w:rsidRPr="00F96876" w:rsidRDefault="00D17A4B" w:rsidP="00F96876">
      <w:pPr>
        <w:pStyle w:val="ListParagraph"/>
        <w:numPr>
          <w:ilvl w:val="2"/>
          <w:numId w:val="2"/>
        </w:numPr>
        <w:tabs>
          <w:tab w:val="left" w:pos="860"/>
          <w:tab w:val="left" w:pos="861"/>
        </w:tabs>
        <w:spacing w:before="199" w:after="120"/>
        <w:ind w:left="856" w:hanging="357"/>
        <w:rPr>
          <w:sz w:val="24"/>
        </w:rPr>
      </w:pPr>
      <w:r>
        <w:rPr>
          <w:sz w:val="24"/>
        </w:rPr>
        <w:t>Information about available services and sources of</w:t>
      </w:r>
      <w:r>
        <w:rPr>
          <w:spacing w:val="5"/>
          <w:sz w:val="24"/>
        </w:rPr>
        <w:t xml:space="preserve"> </w:t>
      </w:r>
      <w:r>
        <w:rPr>
          <w:sz w:val="24"/>
        </w:rPr>
        <w:t>support</w:t>
      </w:r>
      <w:r w:rsidR="00F96876">
        <w:rPr>
          <w:sz w:val="24"/>
        </w:rPr>
        <w:t>.</w:t>
      </w:r>
    </w:p>
    <w:p w14:paraId="713DB69A" w14:textId="77777777" w:rsidR="00520ADE" w:rsidRDefault="00D17A4B" w:rsidP="00F96876">
      <w:pPr>
        <w:pStyle w:val="ListParagraph"/>
        <w:numPr>
          <w:ilvl w:val="2"/>
          <w:numId w:val="2"/>
        </w:numPr>
        <w:tabs>
          <w:tab w:val="left" w:pos="860"/>
          <w:tab w:val="left" w:pos="861"/>
        </w:tabs>
        <w:spacing w:after="120"/>
        <w:ind w:left="856" w:hanging="357"/>
        <w:rPr>
          <w:sz w:val="24"/>
        </w:rPr>
      </w:pPr>
      <w:r w:rsidRPr="00F96876">
        <w:rPr>
          <w:sz w:val="24"/>
        </w:rPr>
        <w:t>A dementia adviser to facilitate easy access to appropriate care and</w:t>
      </w:r>
      <w:r w:rsidRPr="00F96876">
        <w:rPr>
          <w:spacing w:val="-17"/>
          <w:sz w:val="24"/>
        </w:rPr>
        <w:t xml:space="preserve"> </w:t>
      </w:r>
      <w:r w:rsidRPr="00F96876">
        <w:rPr>
          <w:sz w:val="24"/>
        </w:rPr>
        <w:t>advice</w:t>
      </w:r>
      <w:r w:rsidR="00F96876">
        <w:rPr>
          <w:sz w:val="24"/>
        </w:rPr>
        <w:t>.</w:t>
      </w:r>
    </w:p>
    <w:p w14:paraId="67931F57" w14:textId="77777777" w:rsidR="00520ADE" w:rsidRDefault="00D17A4B" w:rsidP="00F96876">
      <w:pPr>
        <w:pStyle w:val="ListParagraph"/>
        <w:numPr>
          <w:ilvl w:val="2"/>
          <w:numId w:val="2"/>
        </w:numPr>
        <w:tabs>
          <w:tab w:val="left" w:pos="860"/>
          <w:tab w:val="left" w:pos="861"/>
        </w:tabs>
        <w:spacing w:before="90" w:after="120" w:line="273" w:lineRule="auto"/>
        <w:ind w:left="856" w:right="1443" w:hanging="357"/>
        <w:rPr>
          <w:sz w:val="24"/>
        </w:rPr>
      </w:pPr>
      <w:r>
        <w:rPr>
          <w:sz w:val="24"/>
        </w:rPr>
        <w:t>Peer support, such as befriending services, to provide practical and emotional support, reduce isolation and promote</w:t>
      </w:r>
      <w:r>
        <w:rPr>
          <w:spacing w:val="-5"/>
          <w:sz w:val="24"/>
        </w:rPr>
        <w:t xml:space="preserve"> </w:t>
      </w:r>
      <w:r>
        <w:rPr>
          <w:sz w:val="24"/>
        </w:rPr>
        <w:t>self-care.</w:t>
      </w:r>
    </w:p>
    <w:p w14:paraId="429B5656" w14:textId="1F0A7105" w:rsidR="00EB121A" w:rsidRDefault="00EB121A" w:rsidP="004B7F5D">
      <w:pPr>
        <w:pStyle w:val="BodyText"/>
        <w:spacing w:before="204"/>
        <w:ind w:left="142" w:right="1440"/>
        <w:jc w:val="both"/>
      </w:pPr>
      <w:r w:rsidRPr="00EB121A">
        <w:t xml:space="preserve">Within Knowsley a Care navigator role has been introduced to facilitate easy access and consistency of care.  This is based on a </w:t>
      </w:r>
      <w:r w:rsidR="003802CF" w:rsidRPr="00EB121A">
        <w:t>well-established</w:t>
      </w:r>
      <w:r w:rsidRPr="00EB121A">
        <w:t xml:space="preserve"> model from Liverpool place which is currently undergoing an evaluation process via University of Liverpool.</w:t>
      </w:r>
    </w:p>
    <w:p w14:paraId="12262DF1" w14:textId="6D516BAC" w:rsidR="00F96876" w:rsidRDefault="00D17A4B" w:rsidP="004B7F5D">
      <w:pPr>
        <w:pStyle w:val="BodyText"/>
        <w:spacing w:before="204"/>
        <w:ind w:left="142" w:right="1440"/>
        <w:jc w:val="both"/>
      </w:pPr>
      <w:r>
        <w:t>Traditional models of dementia care are based on diagnosis being delivered by secondary mental health services through memory clinics. However</w:t>
      </w:r>
      <w:r w:rsidR="00851701">
        <w:t>,</w:t>
      </w:r>
      <w:r>
        <w:t xml:space="preserve"> there is increasing interest in delivering care coordination, advice and management within primary care.</w:t>
      </w:r>
    </w:p>
    <w:p w14:paraId="5DBD2827" w14:textId="619EF7A4" w:rsidR="00520ADE" w:rsidRPr="00E43B7F" w:rsidRDefault="00F96876">
      <w:pPr>
        <w:pStyle w:val="Heading2"/>
        <w:spacing w:before="199"/>
      </w:pPr>
      <w:bookmarkStart w:id="38" w:name="_Toc236218976"/>
      <w:r>
        <w:t>1</w:t>
      </w:r>
      <w:r w:rsidR="00323485">
        <w:t>2</w:t>
      </w:r>
      <w:r w:rsidR="00E43B7F" w:rsidRPr="00E43B7F">
        <w:t>.3</w:t>
      </w:r>
      <w:r w:rsidR="00E43B7F" w:rsidRPr="00E43B7F">
        <w:tab/>
      </w:r>
      <w:r w:rsidR="00D17A4B" w:rsidRPr="00E43B7F">
        <w:t>National Transformation Framework</w:t>
      </w:r>
      <w:bookmarkEnd w:id="38"/>
    </w:p>
    <w:p w14:paraId="3CBA4373" w14:textId="77777777" w:rsidR="00520ADE" w:rsidRDefault="00520ADE">
      <w:pPr>
        <w:pStyle w:val="BodyText"/>
        <w:spacing w:before="10"/>
        <w:rPr>
          <w:b/>
          <w:sz w:val="20"/>
        </w:rPr>
      </w:pPr>
    </w:p>
    <w:p w14:paraId="50BA601A" w14:textId="77777777" w:rsidR="00520ADE" w:rsidRDefault="00D17A4B" w:rsidP="00A3053F">
      <w:pPr>
        <w:pStyle w:val="BodyText"/>
        <w:ind w:left="142" w:right="1435"/>
      </w:pPr>
      <w:r>
        <w:t xml:space="preserve">NHS England </w:t>
      </w:r>
      <w:r w:rsidR="006A0716">
        <w:t>has</w:t>
      </w:r>
      <w:r>
        <w:t xml:space="preserve"> produced a transformation framework for Dementia which is made up of five key areas.</w:t>
      </w:r>
    </w:p>
    <w:p w14:paraId="42F9AB43" w14:textId="77777777" w:rsidR="00045086" w:rsidRDefault="00045086" w:rsidP="00A3053F">
      <w:pPr>
        <w:pStyle w:val="BodyText"/>
        <w:ind w:left="142" w:right="1435"/>
      </w:pPr>
    </w:p>
    <w:p w14:paraId="1905B0AC" w14:textId="77777777" w:rsidR="00520ADE" w:rsidRPr="00045086" w:rsidRDefault="00D17A4B" w:rsidP="0044798D">
      <w:pPr>
        <w:pStyle w:val="BodyText"/>
        <w:ind w:left="142" w:right="1435"/>
        <w:rPr>
          <w:b/>
          <w:bCs/>
        </w:rPr>
      </w:pPr>
      <w:r w:rsidRPr="00045086">
        <w:rPr>
          <w:b/>
          <w:bCs/>
        </w:rPr>
        <w:t>Preventing</w:t>
      </w:r>
      <w:r w:rsidRPr="00045086">
        <w:rPr>
          <w:b/>
          <w:bCs/>
          <w:spacing w:val="-1"/>
        </w:rPr>
        <w:t xml:space="preserve"> </w:t>
      </w:r>
      <w:r w:rsidRPr="00045086">
        <w:rPr>
          <w:b/>
          <w:bCs/>
        </w:rPr>
        <w:t>Well</w:t>
      </w:r>
    </w:p>
    <w:p w14:paraId="0A576731" w14:textId="77777777" w:rsidR="00520ADE" w:rsidRDefault="00520ADE" w:rsidP="0044798D">
      <w:pPr>
        <w:pStyle w:val="BodyText"/>
        <w:ind w:left="142" w:right="1435"/>
        <w:rPr>
          <w:b/>
        </w:rPr>
      </w:pPr>
    </w:p>
    <w:p w14:paraId="561E78D3" w14:textId="0434E2F0" w:rsidR="00520ADE" w:rsidRDefault="00D17A4B" w:rsidP="0044798D">
      <w:pPr>
        <w:ind w:left="142" w:right="1435"/>
        <w:rPr>
          <w:sz w:val="24"/>
        </w:rPr>
      </w:pPr>
      <w:r>
        <w:rPr>
          <w:i/>
          <w:sz w:val="24"/>
        </w:rPr>
        <w:t>‘The risk of people developing dementia is minimised’ Standards covered</w:t>
      </w:r>
      <w:r w:rsidR="00012034">
        <w:rPr>
          <w:b/>
          <w:i/>
          <w:sz w:val="24"/>
        </w:rPr>
        <w:t>:</w:t>
      </w:r>
      <w:r>
        <w:rPr>
          <w:b/>
          <w:i/>
          <w:sz w:val="24"/>
        </w:rPr>
        <w:t xml:space="preserve"> </w:t>
      </w:r>
      <w:r>
        <w:rPr>
          <w:sz w:val="24"/>
        </w:rPr>
        <w:t>Prevention, risk reduction</w:t>
      </w:r>
    </w:p>
    <w:p w14:paraId="00F03B18" w14:textId="77777777" w:rsidR="0044798D" w:rsidRDefault="0044798D" w:rsidP="00A3053F">
      <w:pPr>
        <w:ind w:left="142" w:right="1435"/>
        <w:rPr>
          <w:sz w:val="24"/>
        </w:rPr>
      </w:pPr>
    </w:p>
    <w:p w14:paraId="6A0E0F11" w14:textId="77777777" w:rsidR="00520ADE" w:rsidRPr="00045086" w:rsidRDefault="00D17A4B" w:rsidP="0044798D">
      <w:pPr>
        <w:pStyle w:val="BodyText"/>
        <w:ind w:left="142" w:right="1435"/>
        <w:rPr>
          <w:b/>
          <w:bCs/>
        </w:rPr>
      </w:pPr>
      <w:r w:rsidRPr="00045086">
        <w:rPr>
          <w:b/>
          <w:bCs/>
        </w:rPr>
        <w:t>Diagnosing</w:t>
      </w:r>
      <w:r w:rsidRPr="00045086">
        <w:rPr>
          <w:b/>
          <w:bCs/>
          <w:spacing w:val="-1"/>
        </w:rPr>
        <w:t xml:space="preserve"> </w:t>
      </w:r>
      <w:r w:rsidRPr="00045086">
        <w:rPr>
          <w:b/>
          <w:bCs/>
        </w:rPr>
        <w:t>Well</w:t>
      </w:r>
    </w:p>
    <w:p w14:paraId="3864E5E7" w14:textId="77777777" w:rsidR="00520ADE" w:rsidRDefault="00520ADE" w:rsidP="00A3053F">
      <w:pPr>
        <w:pStyle w:val="BodyText"/>
        <w:ind w:left="142" w:right="1435"/>
        <w:rPr>
          <w:b/>
          <w:sz w:val="20"/>
        </w:rPr>
      </w:pPr>
    </w:p>
    <w:p w14:paraId="11D4A9E2" w14:textId="77777777" w:rsidR="00520ADE" w:rsidRDefault="00D17A4B" w:rsidP="00A3053F">
      <w:pPr>
        <w:ind w:left="142" w:right="1435"/>
        <w:rPr>
          <w:i/>
          <w:sz w:val="24"/>
        </w:rPr>
      </w:pPr>
      <w:r>
        <w:rPr>
          <w:i/>
          <w:sz w:val="24"/>
        </w:rPr>
        <w:t>‘Timely diagnosis, integrated care plan and review within first year’</w:t>
      </w:r>
    </w:p>
    <w:p w14:paraId="26860A36" w14:textId="77777777" w:rsidR="00520ADE" w:rsidRDefault="00520ADE" w:rsidP="00A3053F">
      <w:pPr>
        <w:pStyle w:val="BodyText"/>
        <w:ind w:left="142" w:right="1435"/>
        <w:rPr>
          <w:i/>
          <w:sz w:val="20"/>
        </w:rPr>
      </w:pPr>
    </w:p>
    <w:p w14:paraId="7F427B8D" w14:textId="4C62F4AE" w:rsidR="00520ADE" w:rsidRDefault="00D17A4B" w:rsidP="00A3053F">
      <w:pPr>
        <w:pStyle w:val="BodyText"/>
        <w:ind w:left="142" w:right="1435"/>
        <w:jc w:val="both"/>
      </w:pPr>
      <w:r>
        <w:rPr>
          <w:i/>
        </w:rPr>
        <w:t>Standards covered</w:t>
      </w:r>
      <w:r w:rsidR="00012034">
        <w:rPr>
          <w:b/>
          <w:i/>
        </w:rPr>
        <w:t>:</w:t>
      </w:r>
      <w:r>
        <w:rPr>
          <w:b/>
          <w:i/>
        </w:rPr>
        <w:t xml:space="preserve"> </w:t>
      </w:r>
      <w:r>
        <w:t>Diagnosis, memory assessment, discussion of concerns, investigation, information provision, care plans.</w:t>
      </w:r>
    </w:p>
    <w:p w14:paraId="4EFF97B4" w14:textId="77777777" w:rsidR="00045086" w:rsidRDefault="00045086" w:rsidP="00A3053F">
      <w:pPr>
        <w:pStyle w:val="BodyText"/>
        <w:ind w:left="142" w:right="1435"/>
        <w:jc w:val="both"/>
      </w:pPr>
    </w:p>
    <w:p w14:paraId="348ACA6F" w14:textId="5AE99B81" w:rsidR="00520ADE" w:rsidRPr="00045086" w:rsidRDefault="00D17A4B" w:rsidP="00A3053F">
      <w:pPr>
        <w:pStyle w:val="BodyText"/>
        <w:ind w:left="142" w:right="1435"/>
        <w:jc w:val="both"/>
        <w:rPr>
          <w:b/>
          <w:bCs/>
        </w:rPr>
      </w:pPr>
      <w:r w:rsidRPr="00045086">
        <w:rPr>
          <w:b/>
          <w:bCs/>
        </w:rPr>
        <w:t>Living</w:t>
      </w:r>
      <w:r w:rsidRPr="00045086">
        <w:rPr>
          <w:b/>
          <w:bCs/>
          <w:spacing w:val="-1"/>
        </w:rPr>
        <w:t xml:space="preserve"> </w:t>
      </w:r>
      <w:r w:rsidRPr="00045086">
        <w:rPr>
          <w:b/>
          <w:bCs/>
        </w:rPr>
        <w:t>Well</w:t>
      </w:r>
    </w:p>
    <w:p w14:paraId="4B84C1B1" w14:textId="77777777" w:rsidR="00520ADE" w:rsidRDefault="00520ADE" w:rsidP="00A3053F">
      <w:pPr>
        <w:pStyle w:val="BodyText"/>
        <w:ind w:left="142" w:right="1435"/>
        <w:jc w:val="both"/>
        <w:rPr>
          <w:b/>
          <w:sz w:val="20"/>
        </w:rPr>
      </w:pPr>
    </w:p>
    <w:p w14:paraId="3F077413" w14:textId="77777777" w:rsidR="00520ADE" w:rsidRDefault="00D17A4B" w:rsidP="00A3053F">
      <w:pPr>
        <w:ind w:left="142" w:right="1435"/>
        <w:jc w:val="both"/>
        <w:rPr>
          <w:i/>
          <w:sz w:val="24"/>
        </w:rPr>
      </w:pPr>
      <w:r>
        <w:rPr>
          <w:i/>
          <w:sz w:val="24"/>
        </w:rPr>
        <w:lastRenderedPageBreak/>
        <w:t>‘People with dementia can live normally in safe and accepting communities’</w:t>
      </w:r>
    </w:p>
    <w:p w14:paraId="1BFCCF67" w14:textId="77777777" w:rsidR="00520ADE" w:rsidRDefault="00520ADE" w:rsidP="00A3053F">
      <w:pPr>
        <w:pStyle w:val="BodyText"/>
        <w:ind w:left="142" w:right="1435"/>
        <w:jc w:val="both"/>
        <w:rPr>
          <w:i/>
          <w:sz w:val="20"/>
        </w:rPr>
      </w:pPr>
    </w:p>
    <w:p w14:paraId="4CAD555E" w14:textId="77777777" w:rsidR="00520ADE" w:rsidRDefault="00D17A4B" w:rsidP="00A3053F">
      <w:pPr>
        <w:pStyle w:val="BodyText"/>
        <w:ind w:left="142" w:right="1435"/>
        <w:jc w:val="both"/>
      </w:pPr>
      <w:r>
        <w:rPr>
          <w:i/>
        </w:rPr>
        <w:t>Standards covered</w:t>
      </w:r>
      <w:r>
        <w:rPr>
          <w:b/>
          <w:i/>
        </w:rPr>
        <w:t xml:space="preserve">; </w:t>
      </w:r>
      <w:r>
        <w:t>Integrated services, supporting carers, carer’s respite, co- ordinated care, promoting independence, relationships, leisure, safe communities</w:t>
      </w:r>
    </w:p>
    <w:p w14:paraId="28944361" w14:textId="77777777" w:rsidR="00045086" w:rsidRDefault="00045086" w:rsidP="0044798D">
      <w:pPr>
        <w:pStyle w:val="BodyText"/>
        <w:ind w:left="142" w:right="1435"/>
      </w:pPr>
    </w:p>
    <w:p w14:paraId="30B0E4C5" w14:textId="4701BBF3" w:rsidR="00520ADE" w:rsidRPr="00045086" w:rsidRDefault="00D17A4B" w:rsidP="0044798D">
      <w:pPr>
        <w:pStyle w:val="BodyText"/>
        <w:ind w:left="142" w:right="1435"/>
        <w:rPr>
          <w:b/>
          <w:bCs/>
        </w:rPr>
      </w:pPr>
      <w:r w:rsidRPr="00045086">
        <w:rPr>
          <w:b/>
          <w:bCs/>
        </w:rPr>
        <w:t>Supported</w:t>
      </w:r>
      <w:r w:rsidRPr="00045086">
        <w:rPr>
          <w:b/>
          <w:bCs/>
          <w:spacing w:val="-2"/>
        </w:rPr>
        <w:t xml:space="preserve"> </w:t>
      </w:r>
      <w:r w:rsidRPr="00045086">
        <w:rPr>
          <w:b/>
          <w:bCs/>
        </w:rPr>
        <w:t>Well</w:t>
      </w:r>
    </w:p>
    <w:p w14:paraId="0D452972" w14:textId="77777777" w:rsidR="00520ADE" w:rsidRDefault="00520ADE" w:rsidP="00A3053F">
      <w:pPr>
        <w:pStyle w:val="BodyText"/>
        <w:ind w:left="142" w:right="1435"/>
        <w:rPr>
          <w:b/>
          <w:sz w:val="20"/>
        </w:rPr>
      </w:pPr>
    </w:p>
    <w:p w14:paraId="31539FA8" w14:textId="5D12850C" w:rsidR="00520ADE" w:rsidRDefault="00D17A4B" w:rsidP="00BD491E">
      <w:pPr>
        <w:ind w:left="142" w:right="1435"/>
        <w:jc w:val="both"/>
        <w:rPr>
          <w:i/>
          <w:sz w:val="24"/>
        </w:rPr>
      </w:pPr>
      <w:r>
        <w:rPr>
          <w:i/>
          <w:sz w:val="24"/>
        </w:rPr>
        <w:t xml:space="preserve">‘Access to safe </w:t>
      </w:r>
      <w:r w:rsidR="00850BC4">
        <w:rPr>
          <w:i/>
          <w:sz w:val="24"/>
        </w:rPr>
        <w:t>high-quality</w:t>
      </w:r>
      <w:r>
        <w:rPr>
          <w:i/>
          <w:sz w:val="24"/>
        </w:rPr>
        <w:t xml:space="preserve"> health and social care for people with dementia and their carers’</w:t>
      </w:r>
    </w:p>
    <w:p w14:paraId="74D561F1" w14:textId="77777777" w:rsidR="00BD491E" w:rsidRDefault="00BD491E" w:rsidP="00A3053F">
      <w:pPr>
        <w:ind w:left="142" w:right="1435"/>
        <w:jc w:val="both"/>
        <w:rPr>
          <w:i/>
          <w:sz w:val="24"/>
        </w:rPr>
      </w:pPr>
    </w:p>
    <w:p w14:paraId="7020AE12" w14:textId="77777777" w:rsidR="00520ADE" w:rsidRDefault="00D17A4B" w:rsidP="00A3053F">
      <w:pPr>
        <w:pStyle w:val="BodyText"/>
        <w:ind w:left="142" w:right="1435"/>
        <w:jc w:val="both"/>
      </w:pPr>
      <w:r>
        <w:rPr>
          <w:i/>
        </w:rPr>
        <w:t>Standards covered</w:t>
      </w:r>
      <w:r>
        <w:rPr>
          <w:b/>
          <w:i/>
        </w:rPr>
        <w:t xml:space="preserve">; </w:t>
      </w:r>
      <w:r>
        <w:t>Choice, BPSD, liaison, advocates, housing, hospital treatments, technology, health and social services</w:t>
      </w:r>
    </w:p>
    <w:p w14:paraId="0E936120" w14:textId="77777777" w:rsidR="00045086" w:rsidRDefault="00045086" w:rsidP="00A3053F">
      <w:pPr>
        <w:pStyle w:val="BodyText"/>
        <w:ind w:left="142" w:right="1435"/>
        <w:jc w:val="both"/>
        <w:rPr>
          <w:b/>
          <w:bCs/>
        </w:rPr>
      </w:pPr>
    </w:p>
    <w:p w14:paraId="30C2D1AA" w14:textId="13C5C820" w:rsidR="00520ADE" w:rsidRPr="00045086" w:rsidRDefault="00D17A4B" w:rsidP="00A3053F">
      <w:pPr>
        <w:pStyle w:val="BodyText"/>
        <w:ind w:left="142" w:right="1435"/>
        <w:jc w:val="both"/>
        <w:rPr>
          <w:b/>
          <w:bCs/>
        </w:rPr>
      </w:pPr>
      <w:r w:rsidRPr="00045086">
        <w:rPr>
          <w:b/>
          <w:bCs/>
        </w:rPr>
        <w:t>Dying</w:t>
      </w:r>
      <w:r w:rsidRPr="00045086">
        <w:rPr>
          <w:b/>
          <w:bCs/>
          <w:spacing w:val="-1"/>
        </w:rPr>
        <w:t xml:space="preserve"> </w:t>
      </w:r>
      <w:r w:rsidRPr="00045086">
        <w:rPr>
          <w:b/>
          <w:bCs/>
        </w:rPr>
        <w:t>Well</w:t>
      </w:r>
      <w:r w:rsidR="00E40A8C" w:rsidRPr="00E40A8C">
        <w:rPr>
          <w:b/>
          <w:bCs/>
          <w:sz w:val="22"/>
          <w:szCs w:val="22"/>
          <w:vertAlign w:val="superscript"/>
        </w:rPr>
        <w:t>19</w:t>
      </w:r>
    </w:p>
    <w:p w14:paraId="311C6DAB" w14:textId="7EAC6FF0" w:rsidR="000B17A2" w:rsidRDefault="00980EA2" w:rsidP="00A3053F">
      <w:pPr>
        <w:ind w:left="142" w:right="1435" w:firstLine="142"/>
        <w:jc w:val="both"/>
        <w:rPr>
          <w:sz w:val="24"/>
        </w:rPr>
      </w:pPr>
      <w:r w:rsidRPr="00980EA2">
        <w:rPr>
          <w:iCs/>
          <w:sz w:val="24"/>
        </w:rPr>
        <w:cr/>
      </w:r>
      <w:r w:rsidR="000B17A2">
        <w:rPr>
          <w:i/>
          <w:sz w:val="24"/>
        </w:rPr>
        <w:t>‘People living with dementia die with dignity in the place of their choosing’ Standards covered</w:t>
      </w:r>
      <w:r w:rsidR="00012034">
        <w:rPr>
          <w:b/>
          <w:i/>
          <w:sz w:val="24"/>
        </w:rPr>
        <w:t>:</w:t>
      </w:r>
      <w:r w:rsidR="000B17A2">
        <w:rPr>
          <w:b/>
          <w:i/>
          <w:sz w:val="24"/>
        </w:rPr>
        <w:t xml:space="preserve"> </w:t>
      </w:r>
      <w:r w:rsidR="000B17A2">
        <w:rPr>
          <w:sz w:val="24"/>
        </w:rPr>
        <w:t>Palliative care and pain, end of life, preferred place of death</w:t>
      </w:r>
    </w:p>
    <w:p w14:paraId="1400105D" w14:textId="77777777" w:rsidR="0044798D" w:rsidRDefault="0044798D" w:rsidP="00A3053F">
      <w:pPr>
        <w:ind w:right="1435"/>
        <w:jc w:val="both"/>
        <w:rPr>
          <w:sz w:val="24"/>
        </w:rPr>
      </w:pPr>
    </w:p>
    <w:p w14:paraId="3BD0F298" w14:textId="2AA80DCB" w:rsidR="00025EDC" w:rsidRDefault="000B17A2" w:rsidP="00A3053F">
      <w:pPr>
        <w:ind w:left="142" w:right="1435"/>
        <w:jc w:val="both"/>
        <w:rPr>
          <w:iCs/>
          <w:sz w:val="24"/>
        </w:rPr>
      </w:pPr>
      <w:r>
        <w:rPr>
          <w:iCs/>
          <w:sz w:val="24"/>
        </w:rPr>
        <w:t xml:space="preserve">The North West Coast Clinical Network </w:t>
      </w:r>
      <w:r w:rsidRPr="00617AC3">
        <w:rPr>
          <w:iCs/>
          <w:sz w:val="24"/>
        </w:rPr>
        <w:t>Palliative Care</w:t>
      </w:r>
      <w:r>
        <w:rPr>
          <w:iCs/>
          <w:sz w:val="24"/>
        </w:rPr>
        <w:t xml:space="preserve"> </w:t>
      </w:r>
      <w:r w:rsidRPr="00617AC3">
        <w:rPr>
          <w:iCs/>
          <w:sz w:val="24"/>
        </w:rPr>
        <w:t>Guidelines in Dementia</w:t>
      </w:r>
      <w:r>
        <w:rPr>
          <w:iCs/>
          <w:sz w:val="24"/>
        </w:rPr>
        <w:t xml:space="preserve"> (3</w:t>
      </w:r>
      <w:r w:rsidRPr="00387D9D">
        <w:rPr>
          <w:iCs/>
          <w:sz w:val="24"/>
          <w:vertAlign w:val="superscript"/>
        </w:rPr>
        <w:t>rd</w:t>
      </w:r>
      <w:r>
        <w:rPr>
          <w:iCs/>
          <w:sz w:val="24"/>
        </w:rPr>
        <w:t xml:space="preserve"> Edition) outline best practice in relation to dying with dementia. They highlight the importance skilled work in this area as w</w:t>
      </w:r>
      <w:r w:rsidRPr="00980EA2">
        <w:rPr>
          <w:iCs/>
          <w:sz w:val="24"/>
        </w:rPr>
        <w:t>orking in this way will help</w:t>
      </w:r>
      <w:r>
        <w:rPr>
          <w:iCs/>
          <w:sz w:val="24"/>
        </w:rPr>
        <w:t xml:space="preserve"> </w:t>
      </w:r>
      <w:r w:rsidRPr="00980EA2">
        <w:rPr>
          <w:iCs/>
          <w:sz w:val="24"/>
        </w:rPr>
        <w:t>to ensure that the Human Rights of people living with dementia are upheld</w:t>
      </w:r>
      <w:r>
        <w:rPr>
          <w:iCs/>
          <w:sz w:val="24"/>
        </w:rPr>
        <w:t xml:space="preserve"> </w:t>
      </w:r>
      <w:r w:rsidRPr="00980EA2">
        <w:rPr>
          <w:iCs/>
          <w:sz w:val="24"/>
        </w:rPr>
        <w:t>during end of life care, including the provision of respectful and dignified care, reducing inequality due to the diagnosis of dementia and promoting autonomy in decision making about end of life care for both the person living with dementia and those who support for them.</w:t>
      </w:r>
    </w:p>
    <w:p w14:paraId="7780FC4E" w14:textId="77777777" w:rsidR="000B17A2" w:rsidRPr="00025EDC" w:rsidRDefault="000B17A2" w:rsidP="0044798D">
      <w:pPr>
        <w:ind w:left="142" w:right="1435"/>
        <w:rPr>
          <w:iCs/>
          <w:sz w:val="24"/>
        </w:rPr>
      </w:pPr>
    </w:p>
    <w:p w14:paraId="42E022C0" w14:textId="54589CA6" w:rsidR="00520ADE" w:rsidRPr="00D008B9" w:rsidRDefault="00F96876" w:rsidP="00A3053F">
      <w:pPr>
        <w:pStyle w:val="Heading2"/>
      </w:pPr>
      <w:bookmarkStart w:id="39" w:name="_Toc236218977"/>
      <w:r>
        <w:t>1</w:t>
      </w:r>
      <w:r w:rsidR="00323485">
        <w:t>2</w:t>
      </w:r>
      <w:r w:rsidR="00F00029">
        <w:t>.4</w:t>
      </w:r>
      <w:r w:rsidR="00F00029">
        <w:tab/>
      </w:r>
      <w:r w:rsidR="00D17A4B" w:rsidRPr="00D008B9">
        <w:t>Dementia Friendly Areas</w:t>
      </w:r>
      <w:bookmarkEnd w:id="39"/>
    </w:p>
    <w:p w14:paraId="2BA1F65E" w14:textId="77777777" w:rsidR="00520ADE" w:rsidRDefault="00520ADE" w:rsidP="00A3053F">
      <w:pPr>
        <w:pStyle w:val="BodyText"/>
        <w:rPr>
          <w:b/>
          <w:sz w:val="21"/>
        </w:rPr>
      </w:pPr>
    </w:p>
    <w:p w14:paraId="7F754D16" w14:textId="77777777" w:rsidR="00520ADE" w:rsidRDefault="00D17A4B" w:rsidP="00BD491E">
      <w:pPr>
        <w:pStyle w:val="BodyText"/>
        <w:ind w:left="140" w:right="1434"/>
        <w:jc w:val="both"/>
      </w:pPr>
      <w:r>
        <w:t>The WHO criteria for determining an ‘age friendly area’ includes housing which is affordable in areas that are safe and close to services and the rest of the community. It also lists:</w:t>
      </w:r>
    </w:p>
    <w:p w14:paraId="521B3622" w14:textId="77777777" w:rsidR="00520ADE" w:rsidRPr="00C54205" w:rsidRDefault="00D17A4B" w:rsidP="00A3053F">
      <w:pPr>
        <w:pStyle w:val="ListParagraph"/>
        <w:numPr>
          <w:ilvl w:val="0"/>
          <w:numId w:val="10"/>
        </w:numPr>
        <w:tabs>
          <w:tab w:val="left" w:pos="860"/>
          <w:tab w:val="left" w:pos="861"/>
        </w:tabs>
        <w:jc w:val="both"/>
        <w:rPr>
          <w:rFonts w:ascii="Symbol"/>
          <w:sz w:val="24"/>
        </w:rPr>
      </w:pPr>
      <w:r w:rsidRPr="00C54205">
        <w:rPr>
          <w:sz w:val="24"/>
        </w:rPr>
        <w:t>Affordable home maintenance and support</w:t>
      </w:r>
      <w:r w:rsidRPr="00C54205">
        <w:rPr>
          <w:spacing w:val="-6"/>
          <w:sz w:val="24"/>
        </w:rPr>
        <w:t xml:space="preserve"> </w:t>
      </w:r>
      <w:r w:rsidRPr="00C54205">
        <w:rPr>
          <w:sz w:val="24"/>
        </w:rPr>
        <w:t>services</w:t>
      </w:r>
    </w:p>
    <w:p w14:paraId="78F89AFA" w14:textId="77777777" w:rsidR="00520ADE" w:rsidRPr="00C54205" w:rsidRDefault="00D17A4B" w:rsidP="00A3053F">
      <w:pPr>
        <w:pStyle w:val="ListParagraph"/>
        <w:numPr>
          <w:ilvl w:val="0"/>
          <w:numId w:val="10"/>
        </w:numPr>
        <w:tabs>
          <w:tab w:val="left" w:pos="860"/>
          <w:tab w:val="left" w:pos="861"/>
        </w:tabs>
        <w:ind w:right="1445"/>
        <w:jc w:val="both"/>
        <w:rPr>
          <w:rFonts w:ascii="Symbol"/>
          <w:sz w:val="24"/>
        </w:rPr>
      </w:pPr>
      <w:r w:rsidRPr="00C54205">
        <w:rPr>
          <w:sz w:val="24"/>
        </w:rPr>
        <w:t>Well-constructed dwellings which provide safe and comfortable shelter from the</w:t>
      </w:r>
      <w:r w:rsidRPr="00C54205">
        <w:rPr>
          <w:spacing w:val="-1"/>
          <w:sz w:val="24"/>
        </w:rPr>
        <w:t xml:space="preserve"> </w:t>
      </w:r>
      <w:r w:rsidRPr="00C54205">
        <w:rPr>
          <w:sz w:val="24"/>
        </w:rPr>
        <w:t>weather</w:t>
      </w:r>
    </w:p>
    <w:p w14:paraId="745E66D9" w14:textId="77777777" w:rsidR="00520ADE" w:rsidRPr="00C54205" w:rsidRDefault="00D17A4B" w:rsidP="00A3053F">
      <w:pPr>
        <w:pStyle w:val="ListParagraph"/>
        <w:numPr>
          <w:ilvl w:val="0"/>
          <w:numId w:val="10"/>
        </w:numPr>
        <w:tabs>
          <w:tab w:val="left" w:pos="860"/>
          <w:tab w:val="left" w:pos="861"/>
        </w:tabs>
        <w:jc w:val="both"/>
        <w:rPr>
          <w:rFonts w:ascii="Symbol"/>
          <w:sz w:val="24"/>
        </w:rPr>
      </w:pPr>
      <w:r w:rsidRPr="00C54205">
        <w:rPr>
          <w:sz w:val="24"/>
        </w:rPr>
        <w:t>Interior spaces and level surfaces allowing freedom of</w:t>
      </w:r>
      <w:r w:rsidRPr="00C54205">
        <w:rPr>
          <w:spacing w:val="-12"/>
          <w:sz w:val="24"/>
        </w:rPr>
        <w:t xml:space="preserve"> </w:t>
      </w:r>
      <w:r w:rsidRPr="00C54205">
        <w:rPr>
          <w:sz w:val="24"/>
        </w:rPr>
        <w:t>movement</w:t>
      </w:r>
    </w:p>
    <w:p w14:paraId="649C80C0" w14:textId="77777777" w:rsidR="00520ADE" w:rsidRPr="00C54205" w:rsidRDefault="00D17A4B" w:rsidP="00A3053F">
      <w:pPr>
        <w:pStyle w:val="ListParagraph"/>
        <w:numPr>
          <w:ilvl w:val="0"/>
          <w:numId w:val="10"/>
        </w:numPr>
        <w:tabs>
          <w:tab w:val="left" w:pos="860"/>
          <w:tab w:val="left" w:pos="861"/>
        </w:tabs>
        <w:jc w:val="both"/>
        <w:rPr>
          <w:rFonts w:ascii="Symbol"/>
          <w:sz w:val="24"/>
        </w:rPr>
      </w:pPr>
      <w:r w:rsidRPr="00C54205">
        <w:rPr>
          <w:sz w:val="24"/>
        </w:rPr>
        <w:t>Home modification options are</w:t>
      </w:r>
      <w:r w:rsidRPr="00C54205">
        <w:rPr>
          <w:spacing w:val="-6"/>
          <w:sz w:val="24"/>
        </w:rPr>
        <w:t xml:space="preserve"> </w:t>
      </w:r>
      <w:r w:rsidRPr="00C54205">
        <w:rPr>
          <w:sz w:val="24"/>
        </w:rPr>
        <w:t>affordable</w:t>
      </w:r>
    </w:p>
    <w:p w14:paraId="63043192" w14:textId="77777777" w:rsidR="00520ADE" w:rsidRPr="00C54205" w:rsidRDefault="00D17A4B" w:rsidP="00A3053F">
      <w:pPr>
        <w:pStyle w:val="ListParagraph"/>
        <w:numPr>
          <w:ilvl w:val="0"/>
          <w:numId w:val="10"/>
        </w:numPr>
        <w:tabs>
          <w:tab w:val="left" w:pos="860"/>
          <w:tab w:val="left" w:pos="861"/>
        </w:tabs>
        <w:ind w:right="1447"/>
        <w:jc w:val="both"/>
        <w:rPr>
          <w:rFonts w:ascii="Symbol"/>
          <w:sz w:val="24"/>
        </w:rPr>
      </w:pPr>
      <w:r w:rsidRPr="00C54205">
        <w:rPr>
          <w:sz w:val="24"/>
        </w:rPr>
        <w:t>Sufficient and affordable housing for frail and disabled older people, with appropriate services provided locally</w:t>
      </w:r>
    </w:p>
    <w:p w14:paraId="32EE967D" w14:textId="77777777" w:rsidR="00520ADE" w:rsidRPr="00C54205" w:rsidRDefault="00D17A4B" w:rsidP="00A3053F">
      <w:pPr>
        <w:pStyle w:val="ListParagraph"/>
        <w:numPr>
          <w:ilvl w:val="0"/>
          <w:numId w:val="10"/>
        </w:numPr>
        <w:tabs>
          <w:tab w:val="left" w:pos="860"/>
          <w:tab w:val="left" w:pos="861"/>
        </w:tabs>
        <w:ind w:right="1445"/>
        <w:jc w:val="both"/>
        <w:rPr>
          <w:rFonts w:ascii="Symbol" w:hAnsi="Symbol"/>
          <w:sz w:val="24"/>
        </w:rPr>
      </w:pPr>
      <w:r w:rsidRPr="00C54205">
        <w:rPr>
          <w:sz w:val="24"/>
        </w:rPr>
        <w:t>Designated older people’s housing located close to services and the rest of the</w:t>
      </w:r>
      <w:r w:rsidRPr="00C54205">
        <w:rPr>
          <w:spacing w:val="-1"/>
          <w:sz w:val="24"/>
        </w:rPr>
        <w:t xml:space="preserve"> </w:t>
      </w:r>
      <w:r w:rsidRPr="00C54205">
        <w:rPr>
          <w:sz w:val="24"/>
        </w:rPr>
        <w:t>community</w:t>
      </w:r>
    </w:p>
    <w:p w14:paraId="06101B32" w14:textId="77777777" w:rsidR="00520ADE" w:rsidRDefault="00520ADE" w:rsidP="00A3053F">
      <w:pPr>
        <w:pStyle w:val="BodyText"/>
      </w:pPr>
    </w:p>
    <w:p w14:paraId="5D801DB0" w14:textId="6F024805" w:rsidR="00C8429C" w:rsidRDefault="003E2F0E" w:rsidP="00A3053F">
      <w:pPr>
        <w:pStyle w:val="BodyText"/>
        <w:ind w:left="142" w:right="1435"/>
        <w:jc w:val="both"/>
        <w:rPr>
          <w:b/>
          <w:bCs/>
        </w:rPr>
      </w:pPr>
      <w:bookmarkStart w:id="40" w:name="_Toc236218978"/>
      <w:r w:rsidRPr="00323485">
        <w:rPr>
          <w:rStyle w:val="Heading2Char"/>
        </w:rPr>
        <w:t>1</w:t>
      </w:r>
      <w:r w:rsidR="00323485" w:rsidRPr="00323485">
        <w:rPr>
          <w:rStyle w:val="Heading2Char"/>
        </w:rPr>
        <w:t>2</w:t>
      </w:r>
      <w:r w:rsidRPr="00323485">
        <w:rPr>
          <w:rStyle w:val="Heading2Char"/>
        </w:rPr>
        <w:t>.5</w:t>
      </w:r>
      <w:r w:rsidRPr="00323485">
        <w:rPr>
          <w:rStyle w:val="Heading2Char"/>
        </w:rPr>
        <w:tab/>
      </w:r>
      <w:r w:rsidR="00A509F0" w:rsidRPr="00323485">
        <w:rPr>
          <w:rStyle w:val="Heading2Char"/>
        </w:rPr>
        <w:t xml:space="preserve">Alzheimer’s Society: </w:t>
      </w:r>
      <w:r w:rsidR="0076734D" w:rsidRPr="00323485">
        <w:rPr>
          <w:rStyle w:val="Heading2Char"/>
        </w:rPr>
        <w:t>Knowsley Dementia Support Services Impact Report 2021-2024</w:t>
      </w:r>
      <w:bookmarkEnd w:id="40"/>
      <w:r w:rsidR="0076734D" w:rsidRPr="00323485">
        <w:rPr>
          <w:rStyle w:val="Heading2Char"/>
        </w:rPr>
        <w:br/>
      </w:r>
      <w:r w:rsidR="00EF332E">
        <w:br/>
      </w:r>
      <w:r w:rsidR="00301A40">
        <w:t xml:space="preserve">In Knowsley, </w:t>
      </w:r>
      <w:r w:rsidR="004F240A">
        <w:t xml:space="preserve">the </w:t>
      </w:r>
      <w:r w:rsidR="00301A40">
        <w:t>A</w:t>
      </w:r>
      <w:r w:rsidR="006C4CFC">
        <w:t xml:space="preserve">lzheimer’s Society have been providing </w:t>
      </w:r>
      <w:r w:rsidR="00301A40">
        <w:t xml:space="preserve">dementia support services since 2010. </w:t>
      </w:r>
      <w:r w:rsidR="00946757">
        <w:t xml:space="preserve">In their latest impact report, </w:t>
      </w:r>
      <w:r w:rsidR="00C8429C">
        <w:t>they</w:t>
      </w:r>
      <w:r w:rsidR="00466D35">
        <w:t xml:space="preserve"> ha</w:t>
      </w:r>
      <w:r w:rsidR="00C8429C">
        <w:t xml:space="preserve">ve highlighted the reach of their services. </w:t>
      </w:r>
    </w:p>
    <w:p w14:paraId="70249854" w14:textId="77777777" w:rsidR="00C8429C" w:rsidRDefault="00C8429C" w:rsidP="00A3053F">
      <w:pPr>
        <w:pStyle w:val="BodyText"/>
        <w:ind w:left="142" w:right="1435"/>
        <w:jc w:val="both"/>
        <w:rPr>
          <w:b/>
          <w:bCs/>
        </w:rPr>
      </w:pPr>
    </w:p>
    <w:p w14:paraId="18387B57" w14:textId="0EC46DC9" w:rsidR="00F96876" w:rsidRDefault="00AF73D2" w:rsidP="00A3053F">
      <w:pPr>
        <w:pStyle w:val="BodyText"/>
        <w:ind w:left="142" w:right="1435"/>
        <w:jc w:val="both"/>
        <w:rPr>
          <w:b/>
          <w:bCs/>
        </w:rPr>
      </w:pPr>
      <w:r>
        <w:t xml:space="preserve">Since </w:t>
      </w:r>
      <w:r w:rsidR="00946757">
        <w:t xml:space="preserve">April 2021, their service has directly supported a total of 304 individual carers, along with 60 </w:t>
      </w:r>
      <w:r w:rsidR="00786457">
        <w:t xml:space="preserve">people with a diagnosis of dementia. Additionally, they’ve also supported </w:t>
      </w:r>
      <w:r w:rsidR="007A1625">
        <w:t>members of the public, along with people who did not accept an ongoing service.</w:t>
      </w:r>
      <w:r w:rsidR="00C8429C">
        <w:t xml:space="preserve"> </w:t>
      </w:r>
      <w:r>
        <w:t xml:space="preserve">There </w:t>
      </w:r>
      <w:r w:rsidR="00D32796">
        <w:t>have</w:t>
      </w:r>
      <w:r>
        <w:t xml:space="preserve"> also been 32 service users, who </w:t>
      </w:r>
      <w:r w:rsidR="002C2D26">
        <w:t xml:space="preserve">have continually received Dementia </w:t>
      </w:r>
      <w:r w:rsidR="002C2D26">
        <w:lastRenderedPageBreak/>
        <w:t>Advisor support for more than 12 months after their original referral.</w:t>
      </w:r>
      <w:r w:rsidR="002C2D26">
        <w:br/>
      </w:r>
      <w:r w:rsidR="002C2D26">
        <w:br/>
      </w:r>
      <w:r w:rsidR="00B01302">
        <w:t xml:space="preserve">Of all the carers directly supported, 47% were of working </w:t>
      </w:r>
      <w:r w:rsidR="00397A35">
        <w:t>age (under 65). 15 people living with young onset dementia and their carers have been supported.</w:t>
      </w:r>
    </w:p>
    <w:p w14:paraId="42D20CBA" w14:textId="77777777" w:rsidR="00397A35" w:rsidRDefault="00397A35" w:rsidP="00A3053F">
      <w:pPr>
        <w:pStyle w:val="BodyText"/>
        <w:ind w:left="142" w:right="1435"/>
        <w:jc w:val="both"/>
        <w:rPr>
          <w:b/>
          <w:bCs/>
        </w:rPr>
      </w:pPr>
    </w:p>
    <w:p w14:paraId="7B055841" w14:textId="77777777" w:rsidR="00BD491E" w:rsidRDefault="00397A35" w:rsidP="00BD491E">
      <w:pPr>
        <w:pStyle w:val="BodyText"/>
        <w:ind w:left="142" w:right="1435"/>
        <w:jc w:val="both"/>
      </w:pPr>
      <w:r>
        <w:t>The area with the most people being supported by their Dementia Advisor Service is L36, which encompasses Huyton, Roby and Tarbock (29.8%)</w:t>
      </w:r>
      <w:r w:rsidR="00EA4A58">
        <w:t>.</w:t>
      </w:r>
    </w:p>
    <w:p w14:paraId="496DC518" w14:textId="77777777" w:rsidR="00BD491E" w:rsidRDefault="00EA4A58" w:rsidP="00BD491E">
      <w:pPr>
        <w:pStyle w:val="BodyText"/>
        <w:ind w:left="142" w:right="1435"/>
        <w:jc w:val="both"/>
      </w:pPr>
      <w:r>
        <w:br/>
        <w:t xml:space="preserve">The majority of service users have been </w:t>
      </w:r>
      <w:r w:rsidR="00981658">
        <w:t xml:space="preserve">female, </w:t>
      </w:r>
      <w:r>
        <w:t>however, the service has supported 102 male carers, which accounts for 25.6% of Dementia Advisor service users.</w:t>
      </w:r>
      <w:r>
        <w:br/>
      </w:r>
      <w:r>
        <w:br/>
      </w:r>
      <w:r w:rsidR="006A4256">
        <w:t>T</w:t>
      </w:r>
      <w:r w:rsidR="00851E9A">
        <w:t xml:space="preserve">he service has supported 16 carers who were over the age of 85 years old, at least 21 carers of people </w:t>
      </w:r>
      <w:r w:rsidR="003847E7">
        <w:t>with dementia who are living alone and 32 people living with dementia without the involvement of a carer.</w:t>
      </w:r>
    </w:p>
    <w:p w14:paraId="7F734DDA" w14:textId="28C13C61" w:rsidR="00397A35" w:rsidRDefault="003847E7" w:rsidP="00A3053F">
      <w:pPr>
        <w:pStyle w:val="BodyText"/>
        <w:ind w:left="142" w:right="1435"/>
        <w:jc w:val="both"/>
        <w:rPr>
          <w:b/>
          <w:bCs/>
        </w:rPr>
      </w:pPr>
      <w:r>
        <w:br/>
      </w:r>
      <w:r w:rsidR="005D31D2">
        <w:t>Between April 2021 to June 2024, they received 449 new referrals.</w:t>
      </w:r>
    </w:p>
    <w:p w14:paraId="49E079DE" w14:textId="77777777" w:rsidR="00520ADE" w:rsidRDefault="00520ADE">
      <w:pPr>
        <w:pStyle w:val="BodyText"/>
        <w:rPr>
          <w:sz w:val="28"/>
        </w:rPr>
      </w:pPr>
    </w:p>
    <w:p w14:paraId="6E3FE06B" w14:textId="77777777" w:rsidR="00C9594E" w:rsidRDefault="00C9594E">
      <w:pPr>
        <w:pStyle w:val="BodyText"/>
        <w:rPr>
          <w:sz w:val="28"/>
        </w:rPr>
      </w:pPr>
    </w:p>
    <w:p w14:paraId="43B01B81" w14:textId="38C165E3" w:rsidR="00E04883" w:rsidRPr="00A3053F" w:rsidRDefault="00C9594E" w:rsidP="00851701">
      <w:pPr>
        <w:pStyle w:val="Heading1"/>
        <w:rPr>
          <w:sz w:val="24"/>
          <w:szCs w:val="24"/>
          <w:u w:val="single"/>
        </w:rPr>
      </w:pPr>
      <w:bookmarkStart w:id="41" w:name="_Toc236218979"/>
      <w:r w:rsidRPr="00A3053F">
        <w:rPr>
          <w:sz w:val="24"/>
          <w:szCs w:val="24"/>
          <w:u w:val="single"/>
        </w:rPr>
        <w:t>13.0</w:t>
      </w:r>
      <w:r w:rsidRPr="00A3053F">
        <w:rPr>
          <w:sz w:val="24"/>
          <w:szCs w:val="24"/>
          <w:u w:val="single"/>
        </w:rPr>
        <w:tab/>
        <w:t>FUTURE CHALLENGES</w:t>
      </w:r>
      <w:bookmarkEnd w:id="41"/>
    </w:p>
    <w:p w14:paraId="561C063E" w14:textId="77777777" w:rsidR="00325B1F" w:rsidRDefault="00325B1F">
      <w:pPr>
        <w:pStyle w:val="BodyText"/>
        <w:rPr>
          <w:sz w:val="28"/>
        </w:rPr>
      </w:pPr>
    </w:p>
    <w:p w14:paraId="7D85B8C4" w14:textId="163B7B9A" w:rsidR="00991BFB" w:rsidRPr="00991BFB" w:rsidRDefault="00BD491E" w:rsidP="00A3053F">
      <w:pPr>
        <w:pStyle w:val="BodyText"/>
        <w:ind w:left="142" w:right="1435"/>
        <w:jc w:val="both"/>
      </w:pPr>
      <w:r>
        <w:t>T</w:t>
      </w:r>
      <w:r w:rsidR="00980EA2">
        <w:t xml:space="preserve">here is an ageing population and whilst earlier diagnosis continues to be promoted there will continue to be increased needs for effective dementia services. </w:t>
      </w:r>
      <w:r w:rsidR="009731D8">
        <w:t xml:space="preserve"> </w:t>
      </w:r>
      <w:r w:rsidR="00991BFB" w:rsidRPr="00991BFB">
        <w:t>During our consultation work, local service operators expressed a desire for more creativity when presenting respite care options, to ensure it’s accessible for carers. There was also concern about the demands placed on post-diagnostic support, as the numbers of people who require support will continue to increase with an ageing population and improved diagnostic services.</w:t>
      </w:r>
    </w:p>
    <w:p w14:paraId="0E0E3FA7" w14:textId="77777777" w:rsidR="00991BFB" w:rsidRPr="00991BFB" w:rsidRDefault="00991BFB" w:rsidP="00A1012C">
      <w:pPr>
        <w:pStyle w:val="BodyText"/>
        <w:ind w:left="142" w:right="1435"/>
        <w:jc w:val="both"/>
      </w:pPr>
    </w:p>
    <w:p w14:paraId="53AC944D" w14:textId="77777777" w:rsidR="00991BFB" w:rsidRPr="00991BFB" w:rsidRDefault="00991BFB" w:rsidP="00A1012C">
      <w:pPr>
        <w:pStyle w:val="BodyText"/>
        <w:ind w:left="142" w:right="1435"/>
        <w:jc w:val="both"/>
      </w:pPr>
      <w:r w:rsidRPr="00991BFB">
        <w:t>A desire for better community awareness was present, as there’s still a stigma, which is a barrier between a person approaching their GP about memory concerns.</w:t>
      </w:r>
    </w:p>
    <w:p w14:paraId="0197AE52" w14:textId="77777777" w:rsidR="00D56C0C" w:rsidRDefault="00D56C0C" w:rsidP="00D56C0C">
      <w:pPr>
        <w:pStyle w:val="BodyText"/>
        <w:ind w:left="142" w:right="1435"/>
        <w:jc w:val="both"/>
      </w:pPr>
    </w:p>
    <w:p w14:paraId="28818A68" w14:textId="18617F53" w:rsidR="00325B1F" w:rsidRDefault="00991BFB" w:rsidP="00807842">
      <w:pPr>
        <w:pStyle w:val="BodyText"/>
        <w:ind w:left="142" w:right="1435"/>
        <w:jc w:val="both"/>
      </w:pPr>
      <w:r w:rsidRPr="00991BFB">
        <w:t>As Knowsley’s ethnic diversity is increasing, it’s important that support services are accessible and culturally appropriate.</w:t>
      </w:r>
      <w:r>
        <w:t xml:space="preserve"> </w:t>
      </w:r>
      <w:r w:rsidRPr="00991BFB">
        <w:t xml:space="preserve">There are also </w:t>
      </w:r>
      <w:r w:rsidR="009731D8">
        <w:t xml:space="preserve">major </w:t>
      </w:r>
      <w:r w:rsidRPr="00991BFB">
        <w:t>concerns about long-term funding</w:t>
      </w:r>
      <w:r>
        <w:t>.</w:t>
      </w:r>
    </w:p>
    <w:p w14:paraId="0A2868D0" w14:textId="77777777" w:rsidR="009731D8" w:rsidRDefault="009731D8" w:rsidP="00807842">
      <w:pPr>
        <w:pStyle w:val="BodyText"/>
        <w:ind w:left="142" w:right="1435"/>
        <w:jc w:val="both"/>
      </w:pPr>
    </w:p>
    <w:p w14:paraId="7244380C" w14:textId="60570740" w:rsidR="009731D8" w:rsidRDefault="00980EA2" w:rsidP="00807842">
      <w:pPr>
        <w:pStyle w:val="BodyText"/>
        <w:ind w:left="142" w:right="1435"/>
        <w:jc w:val="both"/>
      </w:pPr>
      <w:r>
        <w:t>Knowsley currently has limited access to s</w:t>
      </w:r>
      <w:r w:rsidR="009731D8">
        <w:t xml:space="preserve">pecific services for </w:t>
      </w:r>
      <w:r>
        <w:t xml:space="preserve">people with Young Onset dementia </w:t>
      </w:r>
      <w:r w:rsidR="009731D8">
        <w:t>and rare</w:t>
      </w:r>
      <w:r>
        <w:t>r</w:t>
      </w:r>
      <w:r w:rsidR="009731D8">
        <w:t xml:space="preserve"> dementia</w:t>
      </w:r>
      <w:r>
        <w:t>s</w:t>
      </w:r>
      <w:r w:rsidR="009731D8">
        <w:t xml:space="preserve">.  </w:t>
      </w:r>
      <w:r w:rsidR="00D56C0C">
        <w:t>The</w:t>
      </w:r>
      <w:r>
        <w:t xml:space="preserve"> </w:t>
      </w:r>
      <w:r w:rsidR="00797B27">
        <w:t>24-hour</w:t>
      </w:r>
      <w:r>
        <w:t xml:space="preserve"> care options for younger people living with dementia are </w:t>
      </w:r>
      <w:r w:rsidR="00D56C0C">
        <w:t>limited for example</w:t>
      </w:r>
      <w:r>
        <w:t xml:space="preserve">. </w:t>
      </w:r>
      <w:r w:rsidR="004242F8">
        <w:t>This w</w:t>
      </w:r>
      <w:r w:rsidR="00BE57CF">
        <w:t>ill also require e</w:t>
      </w:r>
      <w:r w:rsidR="009731D8">
        <w:t xml:space="preserve">ducation of staff in care homes. </w:t>
      </w:r>
    </w:p>
    <w:p w14:paraId="16FC22EE" w14:textId="77777777" w:rsidR="00BE57CF" w:rsidRDefault="00BE57CF" w:rsidP="00807842">
      <w:pPr>
        <w:pStyle w:val="BodyText"/>
        <w:ind w:left="142" w:right="1435"/>
        <w:jc w:val="both"/>
      </w:pPr>
    </w:p>
    <w:p w14:paraId="0CA78795" w14:textId="154943AF" w:rsidR="00325B1F" w:rsidRDefault="0034594F" w:rsidP="00807842">
      <w:pPr>
        <w:pStyle w:val="BodyText"/>
        <w:ind w:left="142" w:right="1435"/>
        <w:rPr>
          <w:sz w:val="28"/>
        </w:rPr>
      </w:pPr>
      <w:r>
        <w:t xml:space="preserve">As there is a move towards licencing Disease Modifying Treatments there will be a need for an infrastructure which supports the required assessments and </w:t>
      </w:r>
      <w:r w:rsidR="00142CA4">
        <w:t xml:space="preserve">treatment monitoring. </w:t>
      </w:r>
    </w:p>
    <w:p w14:paraId="120923C4" w14:textId="77777777" w:rsidR="00325B1F" w:rsidRDefault="00325B1F">
      <w:pPr>
        <w:pStyle w:val="BodyText"/>
        <w:rPr>
          <w:sz w:val="28"/>
        </w:rPr>
      </w:pPr>
    </w:p>
    <w:p w14:paraId="71001F56" w14:textId="77777777" w:rsidR="008B182C" w:rsidRDefault="008B182C">
      <w:pPr>
        <w:pStyle w:val="BodyText"/>
        <w:rPr>
          <w:sz w:val="28"/>
        </w:rPr>
      </w:pPr>
    </w:p>
    <w:p w14:paraId="3C9750B6" w14:textId="77777777" w:rsidR="008B182C" w:rsidRDefault="008B182C">
      <w:pPr>
        <w:pStyle w:val="BodyText"/>
        <w:rPr>
          <w:sz w:val="28"/>
        </w:rPr>
      </w:pPr>
    </w:p>
    <w:p w14:paraId="5C8727E3" w14:textId="77777777" w:rsidR="008B182C" w:rsidRDefault="008B182C">
      <w:pPr>
        <w:pStyle w:val="BodyText"/>
        <w:rPr>
          <w:sz w:val="28"/>
        </w:rPr>
      </w:pPr>
    </w:p>
    <w:p w14:paraId="3B67523D" w14:textId="77777777" w:rsidR="008B182C" w:rsidRDefault="008B182C">
      <w:pPr>
        <w:pStyle w:val="BodyText"/>
        <w:rPr>
          <w:sz w:val="28"/>
        </w:rPr>
      </w:pPr>
    </w:p>
    <w:p w14:paraId="3242C3E3" w14:textId="77777777" w:rsidR="008B182C" w:rsidRDefault="008B182C">
      <w:pPr>
        <w:pStyle w:val="BodyText"/>
        <w:rPr>
          <w:sz w:val="28"/>
        </w:rPr>
      </w:pPr>
    </w:p>
    <w:p w14:paraId="0D20D7BA" w14:textId="77777777" w:rsidR="008B182C" w:rsidRDefault="008B182C">
      <w:pPr>
        <w:pStyle w:val="BodyText"/>
        <w:rPr>
          <w:sz w:val="28"/>
        </w:rPr>
      </w:pPr>
    </w:p>
    <w:p w14:paraId="2FFC2232" w14:textId="77777777" w:rsidR="008D381B" w:rsidRDefault="008D381B">
      <w:pPr>
        <w:pStyle w:val="BodyText"/>
        <w:rPr>
          <w:sz w:val="28"/>
        </w:rPr>
      </w:pPr>
    </w:p>
    <w:p w14:paraId="3F525089" w14:textId="38CFD624" w:rsidR="00520ADE" w:rsidRPr="008D381B" w:rsidRDefault="00C9594E" w:rsidP="008D381B">
      <w:pPr>
        <w:pStyle w:val="Heading1"/>
        <w:rPr>
          <w:sz w:val="24"/>
          <w:szCs w:val="24"/>
          <w:u w:val="single"/>
        </w:rPr>
      </w:pPr>
      <w:bookmarkStart w:id="42" w:name="_Toc236218980"/>
      <w:r w:rsidRPr="00C9594E">
        <w:rPr>
          <w:sz w:val="24"/>
          <w:szCs w:val="24"/>
          <w:u w:val="single"/>
        </w:rPr>
        <w:t>14.0</w:t>
      </w:r>
      <w:r w:rsidRPr="00C9594E">
        <w:rPr>
          <w:sz w:val="24"/>
          <w:szCs w:val="24"/>
          <w:u w:val="single"/>
        </w:rPr>
        <w:tab/>
        <w:t>REFERENCES</w:t>
      </w:r>
      <w:bookmarkEnd w:id="42"/>
    </w:p>
    <w:p w14:paraId="53E86F0F" w14:textId="77777777" w:rsidR="0000741E" w:rsidRDefault="0000741E">
      <w:pPr>
        <w:pStyle w:val="BodyText"/>
        <w:spacing w:before="1"/>
        <w:rPr>
          <w:b/>
          <w:sz w:val="21"/>
        </w:rPr>
      </w:pPr>
    </w:p>
    <w:p w14:paraId="16F983BE" w14:textId="77777777" w:rsidR="00520ADE" w:rsidRPr="00F03D1C" w:rsidRDefault="00D17A4B">
      <w:pPr>
        <w:spacing w:line="276" w:lineRule="auto"/>
        <w:ind w:left="423" w:right="1434" w:hanging="284"/>
        <w:jc w:val="both"/>
        <w:rPr>
          <w:sz w:val="24"/>
          <w:szCs w:val="24"/>
        </w:rPr>
      </w:pPr>
      <w:r w:rsidRPr="00F03D1C">
        <w:rPr>
          <w:b/>
          <w:color w:val="808080"/>
          <w:sz w:val="24"/>
          <w:szCs w:val="24"/>
        </w:rPr>
        <w:t xml:space="preserve">1: </w:t>
      </w:r>
      <w:r w:rsidRPr="00F03D1C">
        <w:rPr>
          <w:sz w:val="24"/>
          <w:szCs w:val="24"/>
        </w:rPr>
        <w:t>Lewis et al (2014), The Trajectory of Dementia in the UK – Making a Difference, report produced by OHE for Alzheimer’s Research UK (calculated by combining the numbers of people with dementia and the number of people who care for them)</w:t>
      </w:r>
    </w:p>
    <w:p w14:paraId="7D3FDC12" w14:textId="77777777" w:rsidR="00520ADE" w:rsidRPr="00F03D1C" w:rsidRDefault="00520ADE">
      <w:pPr>
        <w:pStyle w:val="BodyText"/>
        <w:spacing w:before="4"/>
      </w:pPr>
    </w:p>
    <w:p w14:paraId="15EAACC2" w14:textId="10077191" w:rsidR="00520ADE" w:rsidRPr="00F03D1C" w:rsidRDefault="00D17A4B">
      <w:pPr>
        <w:ind w:left="140"/>
        <w:jc w:val="both"/>
        <w:rPr>
          <w:sz w:val="24"/>
          <w:szCs w:val="24"/>
        </w:rPr>
      </w:pPr>
      <w:r w:rsidRPr="00F03D1C">
        <w:rPr>
          <w:b/>
          <w:color w:val="808080"/>
          <w:sz w:val="24"/>
          <w:szCs w:val="24"/>
        </w:rPr>
        <w:t xml:space="preserve">2: </w:t>
      </w:r>
      <w:hyperlink r:id="rId31" w:history="1">
        <w:r w:rsidR="0049112F" w:rsidRPr="00F03D1C">
          <w:rPr>
            <w:rStyle w:val="Hyperlink"/>
            <w:sz w:val="24"/>
            <w:szCs w:val="24"/>
          </w:rPr>
          <w:t>How many people have dementia in the UK? | Alzheimer's Society (alzheimers.org.uk)</w:t>
        </w:r>
      </w:hyperlink>
    </w:p>
    <w:p w14:paraId="66F238A9" w14:textId="77777777" w:rsidR="00C54205" w:rsidRPr="00F03D1C" w:rsidRDefault="00C54205">
      <w:pPr>
        <w:spacing w:before="91" w:line="276" w:lineRule="auto"/>
        <w:ind w:left="423" w:right="1432" w:hanging="284"/>
        <w:rPr>
          <w:b/>
          <w:color w:val="808080"/>
          <w:sz w:val="24"/>
          <w:szCs w:val="24"/>
        </w:rPr>
      </w:pPr>
    </w:p>
    <w:p w14:paraId="75748F59" w14:textId="50BF00D8" w:rsidR="00520ADE" w:rsidRPr="00F03D1C" w:rsidRDefault="00D17A4B">
      <w:pPr>
        <w:spacing w:before="91" w:line="276" w:lineRule="auto"/>
        <w:ind w:left="423" w:right="1432" w:hanging="284"/>
        <w:rPr>
          <w:bCs/>
          <w:sz w:val="24"/>
          <w:szCs w:val="24"/>
        </w:rPr>
      </w:pPr>
      <w:r w:rsidRPr="00F03D1C">
        <w:rPr>
          <w:b/>
          <w:color w:val="808080"/>
          <w:sz w:val="24"/>
          <w:szCs w:val="24"/>
        </w:rPr>
        <w:t xml:space="preserve">3: </w:t>
      </w:r>
      <w:hyperlink r:id="rId32" w:anchor=":~:text=The%20Office%20for%20National%20Statistics,61%2C250%20(10.4%25)%20in%202021." w:history="1">
        <w:r w:rsidR="00845CCB" w:rsidRPr="00F03D1C">
          <w:rPr>
            <w:rStyle w:val="Hyperlink"/>
            <w:bCs/>
            <w:sz w:val="24"/>
            <w:szCs w:val="24"/>
          </w:rPr>
          <w:t>Dementia leading cause of death in 2022 - Alzheimer's Research UK (alzheimersresearchuk.org)</w:t>
        </w:r>
      </w:hyperlink>
    </w:p>
    <w:p w14:paraId="13AC2F03" w14:textId="77777777" w:rsidR="00520ADE" w:rsidRPr="00F03D1C" w:rsidRDefault="00520ADE">
      <w:pPr>
        <w:pStyle w:val="BodyText"/>
        <w:spacing w:before="9"/>
      </w:pPr>
    </w:p>
    <w:p w14:paraId="4F944C4C" w14:textId="709BBAAC" w:rsidR="00520ADE" w:rsidRPr="00F03D1C" w:rsidRDefault="00981F4E" w:rsidP="00DF2951">
      <w:pPr>
        <w:spacing w:line="276" w:lineRule="auto"/>
        <w:ind w:left="142" w:right="1418"/>
        <w:rPr>
          <w:color w:val="0000FF" w:themeColor="hyperlink"/>
          <w:sz w:val="24"/>
          <w:szCs w:val="24"/>
          <w:u w:val="single"/>
        </w:rPr>
      </w:pPr>
      <w:r w:rsidRPr="00F03D1C">
        <w:rPr>
          <w:b/>
          <w:color w:val="808080"/>
          <w:sz w:val="24"/>
          <w:szCs w:val="24"/>
        </w:rPr>
        <w:t>4</w:t>
      </w:r>
      <w:r w:rsidR="00D17A4B" w:rsidRPr="00F03D1C">
        <w:rPr>
          <w:b/>
          <w:color w:val="808080"/>
          <w:sz w:val="24"/>
          <w:szCs w:val="24"/>
        </w:rPr>
        <w:t xml:space="preserve">: </w:t>
      </w:r>
      <w:hyperlink r:id="rId33" w:history="1">
        <w:r w:rsidR="00232077" w:rsidRPr="00F03D1C">
          <w:rPr>
            <w:rStyle w:val="Hyperlink"/>
            <w:sz w:val="24"/>
            <w:szCs w:val="24"/>
            <w:lang w:val="en"/>
          </w:rPr>
          <w:t>www.nomisweb.co.uk</w:t>
        </w:r>
      </w:hyperlink>
    </w:p>
    <w:p w14:paraId="073FE105" w14:textId="77777777" w:rsidR="007D30D9" w:rsidRPr="00F03D1C" w:rsidRDefault="007D30D9">
      <w:pPr>
        <w:ind w:left="140"/>
        <w:rPr>
          <w:sz w:val="24"/>
          <w:szCs w:val="24"/>
        </w:rPr>
      </w:pPr>
    </w:p>
    <w:p w14:paraId="38A83563" w14:textId="77777777" w:rsidR="007D30D9" w:rsidRPr="00F03D1C" w:rsidRDefault="007D30D9" w:rsidP="74187D63">
      <w:pPr>
        <w:pStyle w:val="ListParagraph"/>
        <w:numPr>
          <w:ilvl w:val="0"/>
          <w:numId w:val="15"/>
        </w:numPr>
        <w:rPr>
          <w:sz w:val="24"/>
          <w:szCs w:val="24"/>
          <w:lang w:val="en-US"/>
        </w:rPr>
      </w:pPr>
      <w:r w:rsidRPr="00F03D1C">
        <w:rPr>
          <w:sz w:val="24"/>
          <w:szCs w:val="24"/>
          <w:lang w:val="en-US"/>
        </w:rPr>
        <w:t xml:space="preserve">National </w:t>
      </w:r>
      <w:r w:rsidR="003366E7" w:rsidRPr="00F03D1C">
        <w:rPr>
          <w:sz w:val="24"/>
          <w:szCs w:val="24"/>
          <w:lang w:val="en-US"/>
        </w:rPr>
        <w:t>Statistic’s</w:t>
      </w:r>
      <w:r w:rsidRPr="00F03D1C">
        <w:rPr>
          <w:sz w:val="24"/>
          <w:szCs w:val="24"/>
          <w:lang w:val="en-US"/>
        </w:rPr>
        <w:t xml:space="preserve"> (ONS's) Living Costs and Food Survey,</w:t>
      </w:r>
      <w:r w:rsidR="003366E7" w:rsidRPr="00F03D1C">
        <w:rPr>
          <w:sz w:val="24"/>
          <w:szCs w:val="24"/>
          <w:lang w:val="en-US"/>
        </w:rPr>
        <w:t xml:space="preserve"> 2017 f</w:t>
      </w:r>
      <w:r w:rsidRPr="00F03D1C">
        <w:rPr>
          <w:sz w:val="24"/>
          <w:szCs w:val="24"/>
          <w:lang w:val="en-US"/>
        </w:rPr>
        <w:t>inancial year end.</w:t>
      </w:r>
    </w:p>
    <w:p w14:paraId="2814F620" w14:textId="77777777" w:rsidR="00DF2951" w:rsidRPr="00F03D1C" w:rsidRDefault="00DF2951" w:rsidP="00DF2951">
      <w:pPr>
        <w:pStyle w:val="ListParagraph"/>
        <w:ind w:left="426" w:firstLine="0"/>
        <w:rPr>
          <w:sz w:val="24"/>
          <w:szCs w:val="24"/>
          <w:lang w:val="en"/>
        </w:rPr>
      </w:pPr>
    </w:p>
    <w:p w14:paraId="4732F753" w14:textId="77777777" w:rsidR="00DF2951" w:rsidRPr="00F03D1C" w:rsidRDefault="00DF2951" w:rsidP="00DF2951">
      <w:pPr>
        <w:pStyle w:val="ListParagraph"/>
        <w:numPr>
          <w:ilvl w:val="0"/>
          <w:numId w:val="15"/>
        </w:numPr>
        <w:spacing w:line="276" w:lineRule="auto"/>
        <w:ind w:right="1418"/>
        <w:rPr>
          <w:sz w:val="24"/>
          <w:szCs w:val="24"/>
          <w:lang w:val="en"/>
        </w:rPr>
      </w:pPr>
      <w:r w:rsidRPr="00F03D1C">
        <w:rPr>
          <w:sz w:val="24"/>
          <w:szCs w:val="24"/>
          <w:lang w:val="en"/>
        </w:rPr>
        <w:t>Prince, M et al (2014) Dementia UK: Update Second Edition report produced by King’s College London and the London School of Economics for the Alzheimer’s Society</w:t>
      </w:r>
    </w:p>
    <w:p w14:paraId="094712DB" w14:textId="77777777" w:rsidR="00325B1F" w:rsidRPr="00F03D1C" w:rsidRDefault="00325B1F" w:rsidP="00325B1F">
      <w:pPr>
        <w:pStyle w:val="ListParagraph"/>
        <w:rPr>
          <w:sz w:val="24"/>
          <w:szCs w:val="24"/>
          <w:lang w:val="en"/>
        </w:rPr>
      </w:pPr>
    </w:p>
    <w:p w14:paraId="06AB1E06" w14:textId="49C14C82" w:rsidR="00325B1F" w:rsidRPr="00F03D1C" w:rsidRDefault="00411516" w:rsidP="00325B1F">
      <w:pPr>
        <w:pStyle w:val="ListParagraph"/>
        <w:numPr>
          <w:ilvl w:val="0"/>
          <w:numId w:val="15"/>
        </w:numPr>
        <w:spacing w:line="276" w:lineRule="auto"/>
        <w:ind w:right="1418"/>
        <w:rPr>
          <w:sz w:val="24"/>
          <w:szCs w:val="24"/>
          <w:lang w:val="en"/>
        </w:rPr>
      </w:pPr>
      <w:hyperlink r:id="rId34" w:history="1">
        <w:r w:rsidRPr="00F03D1C">
          <w:rPr>
            <w:rStyle w:val="Hyperlink"/>
            <w:sz w:val="24"/>
            <w:szCs w:val="24"/>
          </w:rPr>
          <w:t>What are the costs of dementia diagnosis and care in the UK? | Alzheimer's Society (alzheimers.org.uk)</w:t>
        </w:r>
      </w:hyperlink>
    </w:p>
    <w:p w14:paraId="6DAB8413" w14:textId="77777777" w:rsidR="000A1643" w:rsidRPr="00F03D1C" w:rsidRDefault="000A1643" w:rsidP="000A1643">
      <w:pPr>
        <w:pStyle w:val="ListParagraph"/>
        <w:rPr>
          <w:sz w:val="24"/>
          <w:szCs w:val="24"/>
          <w:lang w:val="en"/>
        </w:rPr>
      </w:pPr>
    </w:p>
    <w:p w14:paraId="67F6BA12" w14:textId="77777777" w:rsidR="000A1643" w:rsidRPr="00F03D1C" w:rsidRDefault="000A1643" w:rsidP="000A1643">
      <w:pPr>
        <w:pStyle w:val="ListParagraph"/>
        <w:numPr>
          <w:ilvl w:val="0"/>
          <w:numId w:val="15"/>
        </w:numPr>
        <w:spacing w:line="276" w:lineRule="auto"/>
        <w:ind w:right="1418"/>
        <w:rPr>
          <w:sz w:val="24"/>
          <w:szCs w:val="24"/>
          <w:lang w:val="en"/>
        </w:rPr>
      </w:pPr>
      <w:hyperlink r:id="rId35" w:history="1">
        <w:r w:rsidRPr="00F03D1C">
          <w:rPr>
            <w:rStyle w:val="Hyperlink"/>
            <w:sz w:val="24"/>
            <w:szCs w:val="24"/>
            <w:lang w:val="en"/>
          </w:rPr>
          <w:t>https://www.alzheimers.org.uk/about-dementia/risk-factors-and-prevention/is-dementia-hereditary</w:t>
        </w:r>
      </w:hyperlink>
    </w:p>
    <w:p w14:paraId="7F4D3767" w14:textId="77777777" w:rsidR="00235C86" w:rsidRPr="00F03D1C" w:rsidRDefault="00235C86" w:rsidP="00235C86">
      <w:pPr>
        <w:pStyle w:val="ListParagraph"/>
        <w:rPr>
          <w:sz w:val="24"/>
          <w:szCs w:val="24"/>
          <w:lang w:val="en"/>
        </w:rPr>
      </w:pPr>
    </w:p>
    <w:p w14:paraId="64820BAE" w14:textId="15202BA3" w:rsidR="00A50D50" w:rsidRPr="00F03D1C" w:rsidRDefault="00A50D50" w:rsidP="00235C86">
      <w:pPr>
        <w:pStyle w:val="ListParagraph"/>
        <w:numPr>
          <w:ilvl w:val="0"/>
          <w:numId w:val="15"/>
        </w:numPr>
        <w:spacing w:line="276" w:lineRule="auto"/>
        <w:ind w:right="1418"/>
        <w:rPr>
          <w:sz w:val="24"/>
          <w:szCs w:val="24"/>
          <w:lang w:val="en"/>
        </w:rPr>
      </w:pPr>
      <w:hyperlink r:id="rId36" w:anchor=":~:text=When%20a%20person%20develops%20dementia,the%20early%20stages%20of%20dementia." w:history="1">
        <w:r w:rsidRPr="00F03D1C">
          <w:rPr>
            <w:rStyle w:val="Hyperlink"/>
            <w:sz w:val="24"/>
            <w:szCs w:val="24"/>
          </w:rPr>
          <w:t>Young-onset dementia | Alzheimer's Society (alzheimers.org.uk)</w:t>
        </w:r>
      </w:hyperlink>
    </w:p>
    <w:p w14:paraId="280C2B84" w14:textId="77777777" w:rsidR="008A256B" w:rsidRPr="00F03D1C" w:rsidRDefault="008A256B" w:rsidP="008A256B">
      <w:pPr>
        <w:pStyle w:val="ListParagraph"/>
        <w:rPr>
          <w:sz w:val="24"/>
          <w:szCs w:val="24"/>
          <w:lang w:val="en"/>
        </w:rPr>
      </w:pPr>
    </w:p>
    <w:p w14:paraId="75EE3F37" w14:textId="45E74F2D" w:rsidR="008A256B" w:rsidRPr="00F03D1C" w:rsidRDefault="00065C5F" w:rsidP="008A256B">
      <w:pPr>
        <w:pStyle w:val="ListParagraph"/>
        <w:numPr>
          <w:ilvl w:val="0"/>
          <w:numId w:val="15"/>
        </w:numPr>
        <w:spacing w:line="276" w:lineRule="auto"/>
        <w:ind w:right="1418"/>
        <w:rPr>
          <w:sz w:val="24"/>
          <w:szCs w:val="24"/>
          <w:lang w:val="en"/>
        </w:rPr>
      </w:pPr>
      <w:hyperlink r:id="rId37" w:history="1">
        <w:r w:rsidRPr="00F03D1C">
          <w:rPr>
            <w:rStyle w:val="Hyperlink"/>
            <w:sz w:val="24"/>
            <w:szCs w:val="24"/>
          </w:rPr>
          <w:t>soc23-health-report_web.pdf (carersuk.org)</w:t>
        </w:r>
      </w:hyperlink>
    </w:p>
    <w:p w14:paraId="4FFC2022" w14:textId="77777777" w:rsidR="00CA1D04" w:rsidRPr="00F03D1C" w:rsidRDefault="00CA1D04" w:rsidP="00CA1D04">
      <w:pPr>
        <w:pStyle w:val="ListParagraph"/>
        <w:rPr>
          <w:sz w:val="24"/>
          <w:szCs w:val="24"/>
          <w:lang w:val="en"/>
        </w:rPr>
      </w:pPr>
    </w:p>
    <w:p w14:paraId="16699BA2" w14:textId="3CDFE962" w:rsidR="00CA1D04" w:rsidRPr="00F03D1C" w:rsidRDefault="001F6FB4" w:rsidP="008A256B">
      <w:pPr>
        <w:pStyle w:val="ListParagraph"/>
        <w:numPr>
          <w:ilvl w:val="0"/>
          <w:numId w:val="15"/>
        </w:numPr>
        <w:spacing w:line="276" w:lineRule="auto"/>
        <w:ind w:right="1418"/>
        <w:rPr>
          <w:sz w:val="24"/>
          <w:szCs w:val="24"/>
          <w:lang w:val="en"/>
        </w:rPr>
      </w:pPr>
      <w:r w:rsidRPr="00F03D1C">
        <w:rPr>
          <w:sz w:val="24"/>
          <w:szCs w:val="24"/>
          <w:lang w:val="en"/>
        </w:rPr>
        <w:t xml:space="preserve">End of Life Care Strategy 2008 </w:t>
      </w:r>
      <w:hyperlink r:id="rId38" w:history="1">
        <w:r w:rsidRPr="00F03D1C">
          <w:rPr>
            <w:rStyle w:val="Hyperlink"/>
            <w:sz w:val="24"/>
            <w:szCs w:val="24"/>
          </w:rPr>
          <w:t>https://assets.publishing.service.gov.uk/media/5a7a03e040f0b66a2fbff464/EOLC_exec_summ.pdf</w:t>
        </w:r>
      </w:hyperlink>
    </w:p>
    <w:p w14:paraId="6C84632D" w14:textId="77777777" w:rsidR="00CA1D04" w:rsidRPr="00F03D1C" w:rsidRDefault="00CA1D04" w:rsidP="00CA1D04">
      <w:pPr>
        <w:pStyle w:val="ListParagraph"/>
        <w:rPr>
          <w:sz w:val="24"/>
          <w:szCs w:val="24"/>
          <w:lang w:val="en"/>
        </w:rPr>
      </w:pPr>
    </w:p>
    <w:p w14:paraId="2DDDA092" w14:textId="200A601A" w:rsidR="00CA1D04" w:rsidRPr="00F03D1C" w:rsidRDefault="005E7DDF" w:rsidP="74187D63">
      <w:pPr>
        <w:pStyle w:val="ListParagraph"/>
        <w:numPr>
          <w:ilvl w:val="0"/>
          <w:numId w:val="15"/>
        </w:numPr>
        <w:spacing w:line="276" w:lineRule="auto"/>
        <w:ind w:right="1418"/>
        <w:rPr>
          <w:sz w:val="24"/>
          <w:szCs w:val="24"/>
          <w:lang w:val="en-US"/>
        </w:rPr>
      </w:pPr>
      <w:hyperlink r:id="rId39" w:history="1">
        <w:r w:rsidRPr="00F03D1C">
          <w:rPr>
            <w:rStyle w:val="Hyperlink"/>
            <w:sz w:val="24"/>
            <w:szCs w:val="24"/>
          </w:rPr>
          <w:t>Risk factors for dementia | Alzheimer's Society</w:t>
        </w:r>
      </w:hyperlink>
    </w:p>
    <w:p w14:paraId="28737BF0" w14:textId="77777777" w:rsidR="00546078" w:rsidRPr="00F03D1C" w:rsidRDefault="00546078" w:rsidP="00546078">
      <w:pPr>
        <w:pStyle w:val="ListParagraph"/>
        <w:rPr>
          <w:sz w:val="24"/>
          <w:szCs w:val="24"/>
          <w:lang w:val="en-US"/>
        </w:rPr>
      </w:pPr>
    </w:p>
    <w:p w14:paraId="3CC9E56E" w14:textId="0FAB1FB4" w:rsidR="00546078" w:rsidRPr="00F03D1C" w:rsidRDefault="00546078" w:rsidP="74187D63">
      <w:pPr>
        <w:pStyle w:val="ListParagraph"/>
        <w:numPr>
          <w:ilvl w:val="0"/>
          <w:numId w:val="15"/>
        </w:numPr>
        <w:spacing w:line="276" w:lineRule="auto"/>
        <w:ind w:right="1418"/>
        <w:rPr>
          <w:sz w:val="24"/>
          <w:szCs w:val="24"/>
          <w:lang w:val="en-US"/>
        </w:rPr>
      </w:pPr>
      <w:hyperlink r:id="rId40" w:anchor=":~:text=The%20number%20of%20people%20living,to%20rise%20to%201.4%20million." w:history="1">
        <w:r w:rsidRPr="00F03D1C">
          <w:rPr>
            <w:rStyle w:val="Hyperlink"/>
            <w:sz w:val="24"/>
            <w:szCs w:val="24"/>
          </w:rPr>
          <w:t>Prevalence and incidence - Dementia Statistics Hub</w:t>
        </w:r>
      </w:hyperlink>
    </w:p>
    <w:p w14:paraId="4BAC73C3" w14:textId="77777777" w:rsidR="00F75618" w:rsidRPr="00F03D1C" w:rsidRDefault="00F75618" w:rsidP="00F75618">
      <w:pPr>
        <w:pStyle w:val="ListParagraph"/>
        <w:rPr>
          <w:sz w:val="24"/>
          <w:szCs w:val="24"/>
          <w:lang w:val="en-US"/>
        </w:rPr>
      </w:pPr>
    </w:p>
    <w:p w14:paraId="5EF081B2" w14:textId="426CEE2E" w:rsidR="00F75618" w:rsidRPr="00F03D1C" w:rsidRDefault="000F5673" w:rsidP="74187D63">
      <w:pPr>
        <w:pStyle w:val="ListParagraph"/>
        <w:numPr>
          <w:ilvl w:val="0"/>
          <w:numId w:val="15"/>
        </w:numPr>
        <w:spacing w:line="276" w:lineRule="auto"/>
        <w:ind w:right="1418"/>
        <w:rPr>
          <w:rStyle w:val="Hyperlink"/>
          <w:color w:val="auto"/>
          <w:sz w:val="24"/>
          <w:szCs w:val="24"/>
          <w:u w:val="none"/>
          <w:lang w:val="en-US"/>
        </w:rPr>
      </w:pPr>
      <w:hyperlink r:id="rId41" w:history="1">
        <w:r w:rsidRPr="00F03D1C">
          <w:rPr>
            <w:rStyle w:val="Hyperlink"/>
            <w:sz w:val="24"/>
            <w:szCs w:val="24"/>
          </w:rPr>
          <w:t>Projecting Older People Population Information System (poppi.org.uk)</w:t>
        </w:r>
      </w:hyperlink>
    </w:p>
    <w:p w14:paraId="0BCAE9AE" w14:textId="77777777" w:rsidR="00234833" w:rsidRPr="00F03D1C" w:rsidRDefault="00234833" w:rsidP="00234833">
      <w:pPr>
        <w:pStyle w:val="ListParagraph"/>
        <w:rPr>
          <w:sz w:val="24"/>
          <w:szCs w:val="24"/>
          <w:lang w:val="en-US"/>
        </w:rPr>
      </w:pPr>
    </w:p>
    <w:p w14:paraId="46BE40DB" w14:textId="12D71622" w:rsidR="00234833" w:rsidRPr="00F03D1C" w:rsidRDefault="00234833" w:rsidP="74187D63">
      <w:pPr>
        <w:pStyle w:val="ListParagraph"/>
        <w:numPr>
          <w:ilvl w:val="0"/>
          <w:numId w:val="15"/>
        </w:numPr>
        <w:spacing w:line="276" w:lineRule="auto"/>
        <w:ind w:right="1418"/>
        <w:rPr>
          <w:rStyle w:val="Hyperlink"/>
          <w:color w:val="auto"/>
          <w:sz w:val="24"/>
          <w:szCs w:val="24"/>
          <w:u w:val="none"/>
          <w:lang w:val="en-US"/>
        </w:rPr>
      </w:pPr>
      <w:hyperlink r:id="rId42" w:history="1">
        <w:r w:rsidRPr="00F03D1C">
          <w:rPr>
            <w:rStyle w:val="Hyperlink"/>
            <w:sz w:val="24"/>
            <w:szCs w:val="24"/>
          </w:rPr>
          <w:t xml:space="preserve">Primary Care Dementia Data, </w:t>
        </w:r>
        <w:r w:rsidR="00C5370E" w:rsidRPr="00F03D1C">
          <w:rPr>
            <w:rStyle w:val="Hyperlink"/>
            <w:sz w:val="24"/>
            <w:szCs w:val="24"/>
          </w:rPr>
          <w:t>February</w:t>
        </w:r>
        <w:r w:rsidRPr="00F03D1C">
          <w:rPr>
            <w:rStyle w:val="Hyperlink"/>
            <w:sz w:val="24"/>
            <w:szCs w:val="24"/>
          </w:rPr>
          <w:t xml:space="preserve"> 202</w:t>
        </w:r>
        <w:r w:rsidR="00C5370E" w:rsidRPr="00F03D1C">
          <w:rPr>
            <w:rStyle w:val="Hyperlink"/>
            <w:sz w:val="24"/>
            <w:szCs w:val="24"/>
          </w:rPr>
          <w:t>6</w:t>
        </w:r>
        <w:r w:rsidRPr="00F03D1C">
          <w:rPr>
            <w:rStyle w:val="Hyperlink"/>
            <w:sz w:val="24"/>
            <w:szCs w:val="24"/>
          </w:rPr>
          <w:t xml:space="preserve"> - NHS England Digital</w:t>
        </w:r>
      </w:hyperlink>
    </w:p>
    <w:p w14:paraId="48A569E5" w14:textId="77777777" w:rsidR="00715EAE" w:rsidRPr="00F03D1C" w:rsidRDefault="00715EAE" w:rsidP="00715EAE">
      <w:pPr>
        <w:pStyle w:val="ListParagraph"/>
        <w:rPr>
          <w:sz w:val="24"/>
          <w:szCs w:val="24"/>
          <w:lang w:val="en-US"/>
        </w:rPr>
      </w:pPr>
    </w:p>
    <w:p w14:paraId="5FD6A5D9" w14:textId="58A0AAFA" w:rsidR="00715EAE" w:rsidRPr="00F03D1C" w:rsidRDefault="00715EAE" w:rsidP="74187D63">
      <w:pPr>
        <w:pStyle w:val="ListParagraph"/>
        <w:numPr>
          <w:ilvl w:val="0"/>
          <w:numId w:val="15"/>
        </w:numPr>
        <w:spacing w:line="276" w:lineRule="auto"/>
        <w:ind w:right="1418"/>
        <w:rPr>
          <w:rStyle w:val="Hyperlink"/>
          <w:color w:val="auto"/>
          <w:sz w:val="24"/>
          <w:szCs w:val="24"/>
          <w:u w:val="none"/>
          <w:lang w:val="en-US"/>
        </w:rPr>
      </w:pPr>
      <w:r w:rsidRPr="00F03D1C">
        <w:rPr>
          <w:sz w:val="24"/>
          <w:szCs w:val="24"/>
        </w:rPr>
        <w:t>G. Livingston, et al (2020). “Dementia prevention, intervention, and care: 2020 report of the Lancet Commission” The Lancet</w:t>
      </w:r>
      <w:r w:rsidR="00B9316C" w:rsidRPr="00F03D1C">
        <w:rPr>
          <w:sz w:val="24"/>
          <w:szCs w:val="24"/>
        </w:rPr>
        <w:t xml:space="preserve">: </w:t>
      </w:r>
      <w:hyperlink r:id="rId43" w:history="1">
        <w:r w:rsidR="00B9316C" w:rsidRPr="00F03D1C">
          <w:rPr>
            <w:rStyle w:val="Hyperlink"/>
            <w:sz w:val="24"/>
            <w:szCs w:val="24"/>
          </w:rPr>
          <w:t>Dementia prevention, intervention, and care: 2020 report of the Lancet Commission - The Lancet</w:t>
        </w:r>
      </w:hyperlink>
    </w:p>
    <w:p w14:paraId="628715C6" w14:textId="77777777" w:rsidR="004D4906" w:rsidRPr="00F03D1C" w:rsidRDefault="004D4906" w:rsidP="004D4906">
      <w:pPr>
        <w:pStyle w:val="ListParagraph"/>
        <w:rPr>
          <w:sz w:val="24"/>
          <w:szCs w:val="24"/>
          <w:lang w:val="en-US"/>
        </w:rPr>
      </w:pPr>
    </w:p>
    <w:p w14:paraId="00E81555" w14:textId="026C7715" w:rsidR="004D4906" w:rsidRPr="00F03D1C" w:rsidRDefault="00523BE5" w:rsidP="74187D63">
      <w:pPr>
        <w:pStyle w:val="ListParagraph"/>
        <w:numPr>
          <w:ilvl w:val="0"/>
          <w:numId w:val="15"/>
        </w:numPr>
        <w:spacing w:line="276" w:lineRule="auto"/>
        <w:ind w:right="1418"/>
        <w:rPr>
          <w:sz w:val="24"/>
          <w:szCs w:val="24"/>
          <w:lang w:val="en-US"/>
        </w:rPr>
      </w:pPr>
      <w:hyperlink r:id="rId44" w:history="1">
        <w:r w:rsidRPr="00F03D1C">
          <w:rPr>
            <w:color w:val="0000FF"/>
            <w:sz w:val="24"/>
            <w:szCs w:val="24"/>
            <w:u w:val="single"/>
          </w:rPr>
          <w:t>Using CQC data - Care Quality Commission</w:t>
        </w:r>
      </w:hyperlink>
    </w:p>
    <w:p w14:paraId="6E58C3C7" w14:textId="77777777" w:rsidR="00E92D2A" w:rsidRPr="00F03D1C" w:rsidRDefault="00E92D2A" w:rsidP="00E92D2A">
      <w:pPr>
        <w:pStyle w:val="ListParagraph"/>
        <w:rPr>
          <w:sz w:val="24"/>
          <w:szCs w:val="24"/>
          <w:lang w:val="en-US"/>
        </w:rPr>
      </w:pPr>
    </w:p>
    <w:p w14:paraId="1B1777B9" w14:textId="09339C87" w:rsidR="00E92D2A" w:rsidRPr="00F03D1C" w:rsidRDefault="00E92D2A" w:rsidP="74187D63">
      <w:pPr>
        <w:pStyle w:val="ListParagraph"/>
        <w:numPr>
          <w:ilvl w:val="0"/>
          <w:numId w:val="15"/>
        </w:numPr>
        <w:spacing w:line="276" w:lineRule="auto"/>
        <w:ind w:right="1418"/>
        <w:rPr>
          <w:sz w:val="24"/>
          <w:szCs w:val="24"/>
          <w:lang w:val="en-US"/>
        </w:rPr>
      </w:pPr>
      <w:hyperlink r:id="rId45" w:history="1">
        <w:r w:rsidRPr="00F03D1C">
          <w:rPr>
            <w:rStyle w:val="Hyperlink"/>
            <w:sz w:val="24"/>
            <w:szCs w:val="24"/>
          </w:rPr>
          <w:t>Untreated vision loss and high cholesterol added as modifiable risk factors for dementia (aop.org.uk)</w:t>
        </w:r>
      </w:hyperlink>
    </w:p>
    <w:p w14:paraId="686B53AB" w14:textId="77777777" w:rsidR="00E40A8C" w:rsidRPr="00F03D1C" w:rsidRDefault="00E40A8C" w:rsidP="00E40A8C">
      <w:pPr>
        <w:pStyle w:val="ListParagraph"/>
        <w:rPr>
          <w:sz w:val="24"/>
          <w:szCs w:val="24"/>
          <w:lang w:val="en-US"/>
        </w:rPr>
      </w:pPr>
    </w:p>
    <w:p w14:paraId="7A45F23F" w14:textId="7F05B29A" w:rsidR="00E40A8C" w:rsidRPr="00F03D1C" w:rsidRDefault="00E40A8C" w:rsidP="74187D63">
      <w:pPr>
        <w:pStyle w:val="ListParagraph"/>
        <w:numPr>
          <w:ilvl w:val="0"/>
          <w:numId w:val="15"/>
        </w:numPr>
        <w:spacing w:line="276" w:lineRule="auto"/>
        <w:ind w:right="1418"/>
        <w:rPr>
          <w:sz w:val="24"/>
          <w:szCs w:val="24"/>
          <w:lang w:val="en-US"/>
        </w:rPr>
      </w:pPr>
      <w:hyperlink r:id="rId46" w:history="1">
        <w:r w:rsidRPr="00F03D1C">
          <w:rPr>
            <w:color w:val="0000FF"/>
            <w:sz w:val="24"/>
            <w:szCs w:val="24"/>
            <w:u w:val="single"/>
          </w:rPr>
          <w:t>Palliative-Care-Guidelines-in-Dementia-3rd-ed-Nov-2024-PDF-VERSION-1.pdf</w:t>
        </w:r>
      </w:hyperlink>
    </w:p>
    <w:p w14:paraId="278FE5A5" w14:textId="77777777" w:rsidR="00A51357" w:rsidRPr="00F03D1C" w:rsidRDefault="00A51357" w:rsidP="00A51357">
      <w:pPr>
        <w:pStyle w:val="ListParagraph"/>
        <w:rPr>
          <w:sz w:val="24"/>
          <w:szCs w:val="24"/>
          <w:lang w:val="en-US"/>
        </w:rPr>
      </w:pPr>
    </w:p>
    <w:p w14:paraId="6ACF2373" w14:textId="3D06DBAE" w:rsidR="00A51357" w:rsidRPr="00F03D1C" w:rsidRDefault="00A51357" w:rsidP="74187D63">
      <w:pPr>
        <w:pStyle w:val="ListParagraph"/>
        <w:numPr>
          <w:ilvl w:val="0"/>
          <w:numId w:val="15"/>
        </w:numPr>
        <w:spacing w:line="276" w:lineRule="auto"/>
        <w:ind w:right="1418"/>
        <w:rPr>
          <w:sz w:val="24"/>
          <w:szCs w:val="24"/>
          <w:lang w:val="en-US"/>
        </w:rPr>
      </w:pPr>
      <w:hyperlink r:id="rId47" w:history="1">
        <w:r w:rsidRPr="00F03D1C">
          <w:rPr>
            <w:color w:val="0000FF"/>
            <w:sz w:val="24"/>
            <w:szCs w:val="24"/>
            <w:u w:val="single"/>
          </w:rPr>
          <w:t>What does the NHS 10 Year Plan mean for dementia? - Alzheimer's Research UK</w:t>
        </w:r>
      </w:hyperlink>
    </w:p>
    <w:p w14:paraId="783A7648" w14:textId="77777777" w:rsidR="008B182C" w:rsidRPr="00F03D1C" w:rsidRDefault="008B182C" w:rsidP="008B182C">
      <w:pPr>
        <w:pStyle w:val="ListParagraph"/>
        <w:rPr>
          <w:sz w:val="24"/>
          <w:szCs w:val="24"/>
          <w:lang w:val="en-US"/>
        </w:rPr>
      </w:pPr>
    </w:p>
    <w:p w14:paraId="0F7AF2FC" w14:textId="6FC22896" w:rsidR="008B182C" w:rsidRPr="00F03D1C" w:rsidRDefault="00C43543" w:rsidP="74187D63">
      <w:pPr>
        <w:pStyle w:val="ListParagraph"/>
        <w:numPr>
          <w:ilvl w:val="0"/>
          <w:numId w:val="15"/>
        </w:numPr>
        <w:spacing w:line="276" w:lineRule="auto"/>
        <w:ind w:right="1418"/>
        <w:rPr>
          <w:sz w:val="24"/>
          <w:szCs w:val="24"/>
          <w:lang w:val="en-US"/>
        </w:rPr>
      </w:pPr>
      <w:hyperlink r:id="rId48" w:history="1">
        <w:r w:rsidRPr="00F03D1C">
          <w:rPr>
            <w:rStyle w:val="Hyperlink"/>
            <w:sz w:val="24"/>
            <w:szCs w:val="24"/>
            <w:lang w:val="en-US"/>
          </w:rPr>
          <w:t>https://www.england.nhs.uk/mental-health/dementia/</w:t>
        </w:r>
      </w:hyperlink>
    </w:p>
    <w:p w14:paraId="579E5B0B" w14:textId="77777777" w:rsidR="007433EC" w:rsidRPr="007433EC" w:rsidRDefault="007433EC" w:rsidP="007433EC">
      <w:pPr>
        <w:pStyle w:val="ListParagraph"/>
        <w:rPr>
          <w:sz w:val="24"/>
          <w:szCs w:val="24"/>
          <w:lang w:val="en-US"/>
        </w:rPr>
      </w:pPr>
    </w:p>
    <w:p w14:paraId="16528949" w14:textId="776981B8" w:rsidR="003E640F" w:rsidRPr="003E640F" w:rsidRDefault="003E640F" w:rsidP="003E640F">
      <w:pPr>
        <w:tabs>
          <w:tab w:val="left" w:pos="7475"/>
        </w:tabs>
      </w:pPr>
      <w:r>
        <w:tab/>
      </w:r>
    </w:p>
    <w:sectPr w:rsidR="003E640F" w:rsidRPr="003E640F">
      <w:pgSz w:w="11910" w:h="16840"/>
      <w:pgMar w:top="1340" w:right="0" w:bottom="920" w:left="1300" w:header="708"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F46DF" w14:textId="77777777" w:rsidR="00FE074D" w:rsidRDefault="00FE074D">
      <w:r>
        <w:separator/>
      </w:r>
    </w:p>
  </w:endnote>
  <w:endnote w:type="continuationSeparator" w:id="0">
    <w:p w14:paraId="1ED4209B" w14:textId="77777777" w:rsidR="00FE074D" w:rsidRDefault="00FE074D">
      <w:r>
        <w:continuationSeparator/>
      </w:r>
    </w:p>
  </w:endnote>
  <w:endnote w:type="continuationNotice" w:id="1">
    <w:p w14:paraId="7EACB181" w14:textId="77777777" w:rsidR="00FE074D" w:rsidRDefault="00FE0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FD68" w14:textId="77777777" w:rsidR="005A3F42" w:rsidRDefault="005A3F42">
    <w:pPr>
      <w:pStyle w:val="BodyText"/>
      <w:spacing w:line="14" w:lineRule="auto"/>
      <w:rPr>
        <w:sz w:val="20"/>
      </w:rPr>
    </w:pPr>
    <w:r>
      <w:rPr>
        <w:noProof/>
        <w:lang w:bidi="ar-SA"/>
      </w:rPr>
      <mc:AlternateContent>
        <mc:Choice Requires="wps">
          <w:drawing>
            <wp:anchor distT="0" distB="0" distL="114300" distR="114300" simplePos="0" relativeHeight="251658243" behindDoc="1" locked="0" layoutInCell="1" allowOverlap="1" wp14:anchorId="06A235CF" wp14:editId="17F709A3">
              <wp:simplePos x="0" y="0"/>
              <wp:positionH relativeFrom="page">
                <wp:posOffset>3684905</wp:posOffset>
              </wp:positionH>
              <wp:positionV relativeFrom="page">
                <wp:posOffset>10086340</wp:posOffset>
              </wp:positionV>
              <wp:extent cx="1943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B464E" w14:textId="13DE1D79" w:rsidR="005A3F42" w:rsidRDefault="005A3F42">
                          <w:pPr>
                            <w:spacing w:line="245" w:lineRule="exact"/>
                            <w:ind w:left="40"/>
                            <w:rPr>
                              <w:rFonts w:ascii="Calibri"/>
                            </w:rPr>
                          </w:pPr>
                          <w:r>
                            <w:fldChar w:fldCharType="begin"/>
                          </w:r>
                          <w:r>
                            <w:rPr>
                              <w:rFonts w:ascii="Calibri"/>
                            </w:rPr>
                            <w:instrText xml:space="preserve"> PAGE </w:instrText>
                          </w:r>
                          <w:r>
                            <w:fldChar w:fldCharType="separate"/>
                          </w:r>
                          <w:r w:rsidR="004661ED">
                            <w:rPr>
                              <w:rFonts w:ascii="Calibri"/>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235CF" id="_x0000_t202" coordsize="21600,21600" o:spt="202" path="m,l,21600r21600,l21600,xe">
              <v:stroke joinstyle="miter"/>
              <v:path gradientshapeok="t" o:connecttype="rect"/>
            </v:shapetype>
            <v:shape id="Text Box 1" o:spid="_x0000_s1028" type="#_x0000_t202" style="position:absolute;margin-left:290.15pt;margin-top:794.2pt;width:15.3pt;height:13.0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" filled="f" stroked="f">
              <v:textbox inset="0,0,0,0">
                <w:txbxContent>
                  <w:p w14:paraId="6A2B464E" w14:textId="13DE1D79" w:rsidR="005A3F42" w:rsidRDefault="005A3F42">
                    <w:pPr>
                      <w:spacing w:line="245" w:lineRule="exact"/>
                      <w:ind w:left="40"/>
                      <w:rPr>
                        <w:rFonts w:ascii="Calibri"/>
                      </w:rPr>
                    </w:pPr>
                    <w:r>
                      <w:fldChar w:fldCharType="begin"/>
                    </w:r>
                    <w:r>
                      <w:rPr>
                        <w:rFonts w:ascii="Calibri"/>
                      </w:rPr>
                      <w:instrText xml:space="preserve"> PAGE </w:instrText>
                    </w:r>
                    <w:r>
                      <w:fldChar w:fldCharType="separate"/>
                    </w:r>
                    <w:r w:rsidR="004661ED">
                      <w:rPr>
                        <w:rFonts w:ascii="Calibri"/>
                        <w:noProof/>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C6496" w14:textId="77777777" w:rsidR="00FE074D" w:rsidRDefault="00FE074D">
      <w:r>
        <w:separator/>
      </w:r>
    </w:p>
  </w:footnote>
  <w:footnote w:type="continuationSeparator" w:id="0">
    <w:p w14:paraId="609C5533" w14:textId="77777777" w:rsidR="00FE074D" w:rsidRDefault="00FE074D">
      <w:r>
        <w:continuationSeparator/>
      </w:r>
    </w:p>
  </w:footnote>
  <w:footnote w:type="continuationNotice" w:id="1">
    <w:p w14:paraId="2F52AD35" w14:textId="77777777" w:rsidR="00FE074D" w:rsidRDefault="00FE074D"/>
  </w:footnote>
  <w:footnote w:id="2">
    <w:p w14:paraId="709BD404" w14:textId="77777777" w:rsidR="005D199E" w:rsidRDefault="005D199E"/>
    <w:p w14:paraId="22C75E83" w14:textId="77777777" w:rsidR="004661ED" w:rsidRPr="0075330A" w:rsidRDefault="004661ED" w:rsidP="004661E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0C216" w14:textId="77777777" w:rsidR="005A3F42" w:rsidRDefault="005A3F42">
    <w:pPr>
      <w:pStyle w:val="BodyText"/>
      <w:spacing w:line="14" w:lineRule="auto"/>
      <w:rPr>
        <w:sz w:val="20"/>
      </w:rPr>
    </w:pPr>
    <w:r>
      <w:rPr>
        <w:noProof/>
        <w:lang w:bidi="ar-SA"/>
      </w:rPr>
      <mc:AlternateContent>
        <mc:Choice Requires="wps">
          <w:drawing>
            <wp:anchor distT="0" distB="0" distL="114300" distR="114300" simplePos="0" relativeHeight="251658242" behindDoc="1" locked="0" layoutInCell="1" allowOverlap="1" wp14:anchorId="1ADE45A6" wp14:editId="5C22B916">
              <wp:simplePos x="0" y="0"/>
              <wp:positionH relativeFrom="page">
                <wp:posOffset>5763895</wp:posOffset>
              </wp:positionH>
              <wp:positionV relativeFrom="page">
                <wp:posOffset>514350</wp:posOffset>
              </wp:positionV>
              <wp:extent cx="716280" cy="152400"/>
              <wp:effectExtent l="127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DA6D8" w14:textId="77777777" w:rsidR="005A3F42" w:rsidRPr="00AB7D66" w:rsidRDefault="005A3F42">
                          <w:pPr>
                            <w:spacing w:line="223" w:lineRule="exact"/>
                            <w:ind w:left="20"/>
                            <w:rPr>
                              <w:rFonts w:ascii="Calibri"/>
                              <w:b/>
                              <w:sz w:val="20"/>
                            </w:rPr>
                          </w:pPr>
                          <w:r w:rsidRPr="00AB7D66">
                            <w:rPr>
                              <w:rFonts w:ascii="Calibri"/>
                              <w:b/>
                              <w:sz w:val="20"/>
                            </w:rPr>
                            <w:t>DEMENTIA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E45A6" id="_x0000_t202" coordsize="21600,21600" o:spt="202" path="m,l,21600r21600,l21600,xe">
              <v:stroke joinstyle="miter"/>
              <v:path gradientshapeok="t" o:connecttype="rect"/>
            </v:shapetype>
            <v:shape id="Text Box 2" o:spid="_x0000_s1026" type="#_x0000_t202" style="position:absolute;margin-left:453.85pt;margin-top:40.5pt;width:56.4pt;height:1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" filled="f" stroked="f">
              <v:textbox inset="0,0,0,0">
                <w:txbxContent>
                  <w:p w14:paraId="73EDA6D8" w14:textId="77777777" w:rsidR="005A3F42" w:rsidRPr="00AB7D66" w:rsidRDefault="005A3F42">
                    <w:pPr>
                      <w:spacing w:line="223" w:lineRule="exact"/>
                      <w:ind w:left="20"/>
                      <w:rPr>
                        <w:rFonts w:ascii="Calibri"/>
                        <w:b/>
                        <w:sz w:val="20"/>
                      </w:rPr>
                    </w:pPr>
                    <w:r w:rsidRPr="00AB7D66">
                      <w:rPr>
                        <w:rFonts w:ascii="Calibri"/>
                        <w:b/>
                        <w:sz w:val="20"/>
                      </w:rPr>
                      <w:t>DEMENTIA</w:t>
                    </w:r>
                  </w:p>
                </w:txbxContent>
              </v:textbox>
              <w10:wrap anchorx="page" anchory="page"/>
            </v:shape>
          </w:pict>
        </mc:Fallback>
      </mc:AlternateContent>
    </w:r>
    <w:r>
      <w:rPr>
        <w:noProof/>
        <w:lang w:bidi="ar-SA"/>
      </w:rPr>
      <mc:AlternateContent>
        <mc:Choice Requires="wpg">
          <w:drawing>
            <wp:anchor distT="0" distB="0" distL="114300" distR="114300" simplePos="0" relativeHeight="251658240" behindDoc="1" locked="0" layoutInCell="1" allowOverlap="1" wp14:anchorId="3B235B48" wp14:editId="5671AE46">
              <wp:simplePos x="0" y="0"/>
              <wp:positionH relativeFrom="page">
                <wp:posOffset>461645</wp:posOffset>
              </wp:positionH>
              <wp:positionV relativeFrom="page">
                <wp:posOffset>449580</wp:posOffset>
              </wp:positionV>
              <wp:extent cx="6577330" cy="259080"/>
              <wp:effectExtent l="4445" t="11430" r="9525" b="5715"/>
              <wp:wrapNone/>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259080"/>
                        <a:chOff x="727" y="708"/>
                        <a:chExt cx="10358" cy="408"/>
                      </a:xfrm>
                    </wpg:grpSpPr>
                    <wps:wsp>
                      <wps:cNvPr id="15" name="Rectangle 10"/>
                      <wps:cNvSpPr>
                        <a:spLocks noChangeArrowheads="1"/>
                      </wps:cNvSpPr>
                      <wps:spPr bwMode="auto">
                        <a:xfrm>
                          <a:off x="727" y="70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Line 9"/>
                      <wps:cNvCnPr/>
                      <wps:spPr bwMode="auto">
                        <a:xfrm>
                          <a:off x="737" y="713"/>
                          <a:ext cx="103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 name="Rectangle 8"/>
                      <wps:cNvSpPr>
                        <a:spLocks noChangeArrowheads="1"/>
                      </wps:cNvSpPr>
                      <wps:spPr bwMode="auto">
                        <a:xfrm>
                          <a:off x="11075" y="70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7"/>
                      <wps:cNvCnPr/>
                      <wps:spPr bwMode="auto">
                        <a:xfrm>
                          <a:off x="732" y="708"/>
                          <a:ext cx="0" cy="4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Line 6"/>
                      <wps:cNvCnPr/>
                      <wps:spPr bwMode="auto">
                        <a:xfrm>
                          <a:off x="737" y="1111"/>
                          <a:ext cx="1033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 name="Line 5"/>
                      <wps:cNvCnPr/>
                      <wps:spPr bwMode="auto">
                        <a:xfrm>
                          <a:off x="11080" y="708"/>
                          <a:ext cx="0" cy="4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7D9EBEDC" id="Group 4" o:spid="_x0000_s1026" style="position:absolute;margin-left:36.35pt;margin-top:35.4pt;width:517.9pt;height:20.4pt;z-index:-251658240;mso-position-horizontal-relative:page;mso-position-vertical-relative:page" coordorigin="727,708" coordsize="10358,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">
              <v:rect id="Rectangle 10" o:spid="_x0000_s1027" style="position:absolute;left:727;top:70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9" o:spid="_x0000_s1028" style="position:absolute;visibility:visible;mso-wrap-style:square" from="737,713" to="11076,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v:rect id="Rectangle 8" o:spid="_x0000_s1029" style="position:absolute;left:11075;top:70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line id="Line 7" o:spid="_x0000_s1030" style="position:absolute;visibility:visible;mso-wrap-style:square" from="732,708" to="732,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line id="Line 6" o:spid="_x0000_s1031" style="position:absolute;visibility:visible;mso-wrap-style:square" from="737,1111" to="11076,1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line id="Line 5" o:spid="_x0000_s1032" style="position:absolute;visibility:visible;mso-wrap-style:square" from="11080,708" to="11080,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w10:wrap anchorx="page" anchory="page"/>
            </v:group>
          </w:pict>
        </mc:Fallback>
      </mc:AlternateContent>
    </w:r>
    <w:r>
      <w:rPr>
        <w:noProof/>
        <w:lang w:bidi="ar-SA"/>
      </w:rPr>
      <mc:AlternateContent>
        <mc:Choice Requires="wps">
          <w:drawing>
            <wp:anchor distT="0" distB="0" distL="114300" distR="114300" simplePos="0" relativeHeight="251658241" behindDoc="1" locked="0" layoutInCell="1" allowOverlap="1" wp14:anchorId="62379A74" wp14:editId="0A2D4AFB">
              <wp:simplePos x="0" y="0"/>
              <wp:positionH relativeFrom="page">
                <wp:posOffset>525145</wp:posOffset>
              </wp:positionH>
              <wp:positionV relativeFrom="page">
                <wp:posOffset>514350</wp:posOffset>
              </wp:positionV>
              <wp:extent cx="1329055" cy="152400"/>
              <wp:effectExtent l="1270" t="0" r="3175"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BE7A2" w14:textId="77777777" w:rsidR="005A3F42" w:rsidRPr="004F4720" w:rsidRDefault="005A3F42">
                          <w:pPr>
                            <w:spacing w:line="223" w:lineRule="exact"/>
                            <w:ind w:left="20"/>
                            <w:rPr>
                              <w:rFonts w:ascii="Calibri"/>
                              <w:sz w:val="20"/>
                            </w:rPr>
                          </w:pPr>
                          <w:r w:rsidRPr="004F4720">
                            <w:rPr>
                              <w:rFonts w:ascii="Calibri"/>
                              <w:sz w:val="20"/>
                            </w:rPr>
                            <w:t>KNOWSLEY JSNA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79A74" id="Text Box 3" o:spid="_x0000_s1027" type="#_x0000_t202" style="position:absolute;margin-left:41.35pt;margin-top:40.5pt;width:104.65pt;height:1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" filled="f" stroked="f">
              <v:textbox inset="0,0,0,0">
                <w:txbxContent>
                  <w:p w14:paraId="080BE7A2" w14:textId="77777777" w:rsidR="005A3F42" w:rsidRPr="004F4720" w:rsidRDefault="005A3F42">
                    <w:pPr>
                      <w:spacing w:line="223" w:lineRule="exact"/>
                      <w:ind w:left="20"/>
                      <w:rPr>
                        <w:rFonts w:ascii="Calibri"/>
                        <w:sz w:val="20"/>
                      </w:rPr>
                    </w:pPr>
                    <w:r w:rsidRPr="004F4720">
                      <w:rPr>
                        <w:rFonts w:ascii="Calibri"/>
                        <w:sz w:val="20"/>
                      </w:rPr>
                      <w:t>KNOWSLEY JSNA REPORT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F6779A"/>
    <w:multiLevelType w:val="hybridMultilevel"/>
    <w:tmpl w:val="F5DDE1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4761D7"/>
    <w:multiLevelType w:val="hybridMultilevel"/>
    <w:tmpl w:val="706953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2E9A08"/>
    <w:multiLevelType w:val="hybridMultilevel"/>
    <w:tmpl w:val="49D6FB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346416"/>
    <w:multiLevelType w:val="hybridMultilevel"/>
    <w:tmpl w:val="F7C042A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B73C4"/>
    <w:multiLevelType w:val="hybridMultilevel"/>
    <w:tmpl w:val="6F76856C"/>
    <w:lvl w:ilvl="0" w:tplc="14C4275A">
      <w:start w:val="4"/>
      <w:numFmt w:val="decimal"/>
      <w:lvlText w:val="%1."/>
      <w:lvlJc w:val="left"/>
      <w:pPr>
        <w:ind w:left="860" w:hanging="720"/>
      </w:pPr>
      <w:rPr>
        <w:rFonts w:ascii="Arial" w:eastAsia="Arial" w:hAnsi="Arial" w:cs="Arial" w:hint="default"/>
        <w:b/>
        <w:bCs/>
        <w:color w:val="auto"/>
        <w:spacing w:val="0"/>
        <w:w w:val="99"/>
        <w:sz w:val="32"/>
        <w:szCs w:val="3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DD7D1B"/>
    <w:multiLevelType w:val="hybridMultilevel"/>
    <w:tmpl w:val="6B68D506"/>
    <w:lvl w:ilvl="0" w:tplc="C9A2FE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556301"/>
    <w:multiLevelType w:val="hybridMultilevel"/>
    <w:tmpl w:val="EDA2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894300"/>
    <w:multiLevelType w:val="hybridMultilevel"/>
    <w:tmpl w:val="40C8B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DF0342"/>
    <w:multiLevelType w:val="multilevel"/>
    <w:tmpl w:val="B238B1F2"/>
    <w:lvl w:ilvl="0">
      <w:start w:val="2"/>
      <w:numFmt w:val="decimal"/>
      <w:lvlText w:val="%1"/>
      <w:lvlJc w:val="left"/>
      <w:pPr>
        <w:ind w:left="140" w:hanging="504"/>
      </w:pPr>
      <w:rPr>
        <w:rFonts w:hint="default"/>
        <w:lang w:val="en-GB" w:eastAsia="en-GB" w:bidi="en-GB"/>
      </w:rPr>
    </w:lvl>
    <w:lvl w:ilvl="1">
      <w:numFmt w:val="decimal"/>
      <w:lvlText w:val="%1.%2"/>
      <w:lvlJc w:val="left"/>
      <w:pPr>
        <w:ind w:left="140" w:hanging="504"/>
      </w:pPr>
      <w:rPr>
        <w:rFonts w:ascii="Arial" w:eastAsia="Arial" w:hAnsi="Arial" w:cs="Arial" w:hint="default"/>
        <w:spacing w:val="-34"/>
        <w:w w:val="99"/>
        <w:sz w:val="24"/>
        <w:szCs w:val="24"/>
        <w:lang w:val="en-GB" w:eastAsia="en-GB" w:bidi="en-GB"/>
      </w:rPr>
    </w:lvl>
    <w:lvl w:ilvl="2">
      <w:numFmt w:val="bullet"/>
      <w:lvlText w:val=""/>
      <w:lvlJc w:val="left"/>
      <w:pPr>
        <w:ind w:left="860" w:hanging="360"/>
      </w:pPr>
      <w:rPr>
        <w:rFonts w:ascii="Symbol" w:eastAsia="Symbol" w:hAnsi="Symbol" w:cs="Symbol" w:hint="default"/>
        <w:w w:val="100"/>
        <w:sz w:val="24"/>
        <w:szCs w:val="24"/>
        <w:lang w:val="en-GB" w:eastAsia="en-GB" w:bidi="en-GB"/>
      </w:rPr>
    </w:lvl>
    <w:lvl w:ilvl="3">
      <w:numFmt w:val="bullet"/>
      <w:lvlText w:val="•"/>
      <w:lvlJc w:val="left"/>
      <w:pPr>
        <w:ind w:left="3025" w:hanging="360"/>
      </w:pPr>
      <w:rPr>
        <w:rFonts w:hint="default"/>
        <w:lang w:val="en-GB" w:eastAsia="en-GB" w:bidi="en-GB"/>
      </w:rPr>
    </w:lvl>
    <w:lvl w:ilvl="4">
      <w:numFmt w:val="bullet"/>
      <w:lvlText w:val="•"/>
      <w:lvlJc w:val="left"/>
      <w:pPr>
        <w:ind w:left="4108" w:hanging="360"/>
      </w:pPr>
      <w:rPr>
        <w:rFonts w:hint="default"/>
        <w:lang w:val="en-GB" w:eastAsia="en-GB" w:bidi="en-GB"/>
      </w:rPr>
    </w:lvl>
    <w:lvl w:ilvl="5">
      <w:numFmt w:val="bullet"/>
      <w:lvlText w:val="•"/>
      <w:lvlJc w:val="left"/>
      <w:pPr>
        <w:ind w:left="5191" w:hanging="360"/>
      </w:pPr>
      <w:rPr>
        <w:rFonts w:hint="default"/>
        <w:lang w:val="en-GB" w:eastAsia="en-GB" w:bidi="en-GB"/>
      </w:rPr>
    </w:lvl>
    <w:lvl w:ilvl="6">
      <w:numFmt w:val="bullet"/>
      <w:lvlText w:val="•"/>
      <w:lvlJc w:val="left"/>
      <w:pPr>
        <w:ind w:left="6274" w:hanging="360"/>
      </w:pPr>
      <w:rPr>
        <w:rFonts w:hint="default"/>
        <w:lang w:val="en-GB" w:eastAsia="en-GB" w:bidi="en-GB"/>
      </w:rPr>
    </w:lvl>
    <w:lvl w:ilvl="7">
      <w:numFmt w:val="bullet"/>
      <w:lvlText w:val="•"/>
      <w:lvlJc w:val="left"/>
      <w:pPr>
        <w:ind w:left="7357" w:hanging="360"/>
      </w:pPr>
      <w:rPr>
        <w:rFonts w:hint="default"/>
        <w:lang w:val="en-GB" w:eastAsia="en-GB" w:bidi="en-GB"/>
      </w:rPr>
    </w:lvl>
    <w:lvl w:ilvl="8">
      <w:numFmt w:val="bullet"/>
      <w:lvlText w:val="•"/>
      <w:lvlJc w:val="left"/>
      <w:pPr>
        <w:ind w:left="8440" w:hanging="360"/>
      </w:pPr>
      <w:rPr>
        <w:rFonts w:hint="default"/>
        <w:lang w:val="en-GB" w:eastAsia="en-GB" w:bidi="en-GB"/>
      </w:rPr>
    </w:lvl>
  </w:abstractNum>
  <w:abstractNum w:abstractNumId="9" w15:restartNumberingAfterBreak="0">
    <w:nsid w:val="107F08CB"/>
    <w:multiLevelType w:val="hybridMultilevel"/>
    <w:tmpl w:val="FDE042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413384"/>
    <w:multiLevelType w:val="hybridMultilevel"/>
    <w:tmpl w:val="33AEED7E"/>
    <w:lvl w:ilvl="0" w:tplc="14C4275A">
      <w:start w:val="5"/>
      <w:numFmt w:val="decimal"/>
      <w:lvlText w:val="%1."/>
      <w:lvlJc w:val="left"/>
      <w:pPr>
        <w:ind w:left="860" w:hanging="720"/>
      </w:pPr>
      <w:rPr>
        <w:rFonts w:ascii="Arial" w:eastAsia="Arial" w:hAnsi="Arial" w:cs="Arial" w:hint="default"/>
        <w:b/>
        <w:bCs/>
        <w:color w:val="auto"/>
        <w:spacing w:val="0"/>
        <w:w w:val="99"/>
        <w:sz w:val="32"/>
        <w:szCs w:val="32"/>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5515C9"/>
    <w:multiLevelType w:val="hybridMultilevel"/>
    <w:tmpl w:val="B896E76C"/>
    <w:lvl w:ilvl="0" w:tplc="CC08D938">
      <w:start w:val="3"/>
      <w:numFmt w:val="decimal"/>
      <w:lvlText w:val="%1."/>
      <w:lvlJc w:val="left"/>
      <w:pPr>
        <w:ind w:left="860" w:hanging="720"/>
      </w:pPr>
      <w:rPr>
        <w:rFonts w:ascii="Arial" w:eastAsia="Arial" w:hAnsi="Arial" w:cs="Arial" w:hint="default"/>
        <w:b/>
        <w:bCs/>
        <w:color w:val="auto"/>
        <w:spacing w:val="0"/>
        <w:w w:val="99"/>
        <w:sz w:val="32"/>
        <w:szCs w:val="32"/>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2D70F0"/>
    <w:multiLevelType w:val="multilevel"/>
    <w:tmpl w:val="19A2D18A"/>
    <w:lvl w:ilvl="0">
      <w:start w:val="2"/>
      <w:numFmt w:val="decimal"/>
      <w:lvlText w:val="%1."/>
      <w:lvlJc w:val="left"/>
      <w:pPr>
        <w:ind w:left="559" w:hanging="360"/>
      </w:pPr>
      <w:rPr>
        <w:rFonts w:ascii="Arial" w:eastAsia="Arial" w:hAnsi="Arial" w:cs="Arial" w:hint="default"/>
        <w:b/>
        <w:bCs/>
        <w:color w:val="234060"/>
        <w:spacing w:val="-1"/>
        <w:w w:val="100"/>
        <w:sz w:val="22"/>
        <w:szCs w:val="22"/>
        <w:lang w:val="en-GB" w:eastAsia="en-GB" w:bidi="en-GB"/>
      </w:rPr>
    </w:lvl>
    <w:lvl w:ilvl="1">
      <w:start w:val="1"/>
      <w:numFmt w:val="decimal"/>
      <w:lvlText w:val="%1.%2"/>
      <w:lvlJc w:val="left"/>
      <w:pPr>
        <w:ind w:left="972" w:hanging="425"/>
      </w:pPr>
      <w:rPr>
        <w:rFonts w:ascii="Arial" w:eastAsia="Arial" w:hAnsi="Arial" w:cs="Arial" w:hint="default"/>
        <w:color w:val="808080"/>
        <w:w w:val="100"/>
        <w:sz w:val="22"/>
        <w:szCs w:val="22"/>
        <w:lang w:val="en-GB" w:eastAsia="en-GB" w:bidi="en-GB"/>
      </w:rPr>
    </w:lvl>
    <w:lvl w:ilvl="2">
      <w:start w:val="1"/>
      <w:numFmt w:val="decimal"/>
      <w:lvlText w:val="%1.%2.%3"/>
      <w:lvlJc w:val="left"/>
      <w:pPr>
        <w:ind w:left="1618" w:hanging="720"/>
      </w:pPr>
      <w:rPr>
        <w:rFonts w:ascii="Arial" w:eastAsia="Arial" w:hAnsi="Arial" w:cs="Arial" w:hint="default"/>
        <w:color w:val="808080"/>
        <w:w w:val="100"/>
        <w:sz w:val="22"/>
        <w:szCs w:val="22"/>
        <w:lang w:val="en-GB" w:eastAsia="en-GB" w:bidi="en-GB"/>
      </w:rPr>
    </w:lvl>
    <w:lvl w:ilvl="3">
      <w:numFmt w:val="bullet"/>
      <w:lvlText w:val="•"/>
      <w:lvlJc w:val="left"/>
      <w:pPr>
        <w:ind w:left="2394" w:hanging="720"/>
      </w:pPr>
      <w:rPr>
        <w:rFonts w:hint="default"/>
        <w:lang w:val="en-GB" w:eastAsia="en-GB" w:bidi="en-GB"/>
      </w:rPr>
    </w:lvl>
    <w:lvl w:ilvl="4">
      <w:numFmt w:val="bullet"/>
      <w:lvlText w:val="•"/>
      <w:lvlJc w:val="left"/>
      <w:pPr>
        <w:ind w:left="3169" w:hanging="720"/>
      </w:pPr>
      <w:rPr>
        <w:rFonts w:hint="default"/>
        <w:lang w:val="en-GB" w:eastAsia="en-GB" w:bidi="en-GB"/>
      </w:rPr>
    </w:lvl>
    <w:lvl w:ilvl="5">
      <w:numFmt w:val="bullet"/>
      <w:lvlText w:val="•"/>
      <w:lvlJc w:val="left"/>
      <w:pPr>
        <w:ind w:left="3944" w:hanging="720"/>
      </w:pPr>
      <w:rPr>
        <w:rFonts w:hint="default"/>
        <w:lang w:val="en-GB" w:eastAsia="en-GB" w:bidi="en-GB"/>
      </w:rPr>
    </w:lvl>
    <w:lvl w:ilvl="6">
      <w:numFmt w:val="bullet"/>
      <w:lvlText w:val="•"/>
      <w:lvlJc w:val="left"/>
      <w:pPr>
        <w:ind w:left="4719" w:hanging="720"/>
      </w:pPr>
      <w:rPr>
        <w:rFonts w:hint="default"/>
        <w:lang w:val="en-GB" w:eastAsia="en-GB" w:bidi="en-GB"/>
      </w:rPr>
    </w:lvl>
    <w:lvl w:ilvl="7">
      <w:numFmt w:val="bullet"/>
      <w:lvlText w:val="•"/>
      <w:lvlJc w:val="left"/>
      <w:pPr>
        <w:ind w:left="5493" w:hanging="720"/>
      </w:pPr>
      <w:rPr>
        <w:rFonts w:hint="default"/>
        <w:lang w:val="en-GB" w:eastAsia="en-GB" w:bidi="en-GB"/>
      </w:rPr>
    </w:lvl>
    <w:lvl w:ilvl="8">
      <w:numFmt w:val="bullet"/>
      <w:lvlText w:val="•"/>
      <w:lvlJc w:val="left"/>
      <w:pPr>
        <w:ind w:left="6268" w:hanging="720"/>
      </w:pPr>
      <w:rPr>
        <w:rFonts w:hint="default"/>
        <w:lang w:val="en-GB" w:eastAsia="en-GB" w:bidi="en-GB"/>
      </w:rPr>
    </w:lvl>
  </w:abstractNum>
  <w:abstractNum w:abstractNumId="13" w15:restartNumberingAfterBreak="0">
    <w:nsid w:val="23C44A4E"/>
    <w:multiLevelType w:val="hybridMultilevel"/>
    <w:tmpl w:val="9B967A18"/>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4" w15:restartNumberingAfterBreak="0">
    <w:nsid w:val="260D048D"/>
    <w:multiLevelType w:val="multilevel"/>
    <w:tmpl w:val="E338674A"/>
    <w:lvl w:ilvl="0">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560" w:hanging="1440"/>
      </w:pPr>
      <w:rPr>
        <w:rFonts w:hint="default"/>
        <w:b/>
      </w:rPr>
    </w:lvl>
  </w:abstractNum>
  <w:abstractNum w:abstractNumId="15" w15:restartNumberingAfterBreak="0">
    <w:nsid w:val="269E30B2"/>
    <w:multiLevelType w:val="hybridMultilevel"/>
    <w:tmpl w:val="A692D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4002A5"/>
    <w:multiLevelType w:val="multilevel"/>
    <w:tmpl w:val="4F42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476931"/>
    <w:multiLevelType w:val="hybridMultilevel"/>
    <w:tmpl w:val="B17C78B8"/>
    <w:lvl w:ilvl="0" w:tplc="C7105CDC">
      <w:start w:val="1"/>
      <w:numFmt w:val="decimal"/>
      <w:lvlText w:val="%1."/>
      <w:lvlJc w:val="left"/>
      <w:pPr>
        <w:ind w:left="423" w:hanging="284"/>
      </w:pPr>
      <w:rPr>
        <w:rFonts w:ascii="Arial" w:eastAsia="Arial" w:hAnsi="Arial" w:cs="Arial" w:hint="default"/>
        <w:b/>
        <w:bCs/>
        <w:color w:val="808080"/>
        <w:w w:val="99"/>
        <w:sz w:val="24"/>
        <w:szCs w:val="24"/>
        <w:lang w:val="en-GB" w:eastAsia="en-GB" w:bidi="en-GB"/>
      </w:rPr>
    </w:lvl>
    <w:lvl w:ilvl="1" w:tplc="0192BBA6">
      <w:numFmt w:val="bullet"/>
      <w:lvlText w:val=""/>
      <w:lvlJc w:val="left"/>
      <w:pPr>
        <w:ind w:left="860" w:hanging="360"/>
      </w:pPr>
      <w:rPr>
        <w:rFonts w:hint="default"/>
        <w:w w:val="100"/>
        <w:lang w:val="en-GB" w:eastAsia="en-GB" w:bidi="en-GB"/>
      </w:rPr>
    </w:lvl>
    <w:lvl w:ilvl="2" w:tplc="68285180">
      <w:numFmt w:val="bullet"/>
      <w:lvlText w:val="•"/>
      <w:lvlJc w:val="left"/>
      <w:pPr>
        <w:ind w:left="1942" w:hanging="360"/>
      </w:pPr>
      <w:rPr>
        <w:rFonts w:hint="default"/>
        <w:lang w:val="en-GB" w:eastAsia="en-GB" w:bidi="en-GB"/>
      </w:rPr>
    </w:lvl>
    <w:lvl w:ilvl="3" w:tplc="FB3A8E2C">
      <w:numFmt w:val="bullet"/>
      <w:lvlText w:val="•"/>
      <w:lvlJc w:val="left"/>
      <w:pPr>
        <w:ind w:left="3025" w:hanging="360"/>
      </w:pPr>
      <w:rPr>
        <w:rFonts w:hint="default"/>
        <w:lang w:val="en-GB" w:eastAsia="en-GB" w:bidi="en-GB"/>
      </w:rPr>
    </w:lvl>
    <w:lvl w:ilvl="4" w:tplc="C89A4D46">
      <w:numFmt w:val="bullet"/>
      <w:lvlText w:val="•"/>
      <w:lvlJc w:val="left"/>
      <w:pPr>
        <w:ind w:left="4108" w:hanging="360"/>
      </w:pPr>
      <w:rPr>
        <w:rFonts w:hint="default"/>
        <w:lang w:val="en-GB" w:eastAsia="en-GB" w:bidi="en-GB"/>
      </w:rPr>
    </w:lvl>
    <w:lvl w:ilvl="5" w:tplc="F1F2654C">
      <w:numFmt w:val="bullet"/>
      <w:lvlText w:val="•"/>
      <w:lvlJc w:val="left"/>
      <w:pPr>
        <w:ind w:left="5191" w:hanging="360"/>
      </w:pPr>
      <w:rPr>
        <w:rFonts w:hint="default"/>
        <w:lang w:val="en-GB" w:eastAsia="en-GB" w:bidi="en-GB"/>
      </w:rPr>
    </w:lvl>
    <w:lvl w:ilvl="6" w:tplc="860C1760">
      <w:numFmt w:val="bullet"/>
      <w:lvlText w:val="•"/>
      <w:lvlJc w:val="left"/>
      <w:pPr>
        <w:ind w:left="6274" w:hanging="360"/>
      </w:pPr>
      <w:rPr>
        <w:rFonts w:hint="default"/>
        <w:lang w:val="en-GB" w:eastAsia="en-GB" w:bidi="en-GB"/>
      </w:rPr>
    </w:lvl>
    <w:lvl w:ilvl="7" w:tplc="3634D596">
      <w:numFmt w:val="bullet"/>
      <w:lvlText w:val="•"/>
      <w:lvlJc w:val="left"/>
      <w:pPr>
        <w:ind w:left="7357" w:hanging="360"/>
      </w:pPr>
      <w:rPr>
        <w:rFonts w:hint="default"/>
        <w:lang w:val="en-GB" w:eastAsia="en-GB" w:bidi="en-GB"/>
      </w:rPr>
    </w:lvl>
    <w:lvl w:ilvl="8" w:tplc="7AE05BC6">
      <w:numFmt w:val="bullet"/>
      <w:lvlText w:val="•"/>
      <w:lvlJc w:val="left"/>
      <w:pPr>
        <w:ind w:left="8440" w:hanging="360"/>
      </w:pPr>
      <w:rPr>
        <w:rFonts w:hint="default"/>
        <w:lang w:val="en-GB" w:eastAsia="en-GB" w:bidi="en-GB"/>
      </w:rPr>
    </w:lvl>
  </w:abstractNum>
  <w:abstractNum w:abstractNumId="18" w15:restartNumberingAfterBreak="0">
    <w:nsid w:val="32F80C66"/>
    <w:multiLevelType w:val="hybridMultilevel"/>
    <w:tmpl w:val="A67C6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343CCE"/>
    <w:multiLevelType w:val="multilevel"/>
    <w:tmpl w:val="46C2DA7E"/>
    <w:lvl w:ilvl="0">
      <w:start w:val="2"/>
      <w:numFmt w:val="decimal"/>
      <w:lvlText w:val="%1"/>
      <w:lvlJc w:val="left"/>
      <w:pPr>
        <w:ind w:left="917" w:hanging="370"/>
      </w:pPr>
      <w:rPr>
        <w:rFonts w:hint="default"/>
        <w:lang w:val="en-GB" w:eastAsia="en-GB" w:bidi="en-GB"/>
      </w:rPr>
    </w:lvl>
    <w:lvl w:ilvl="1">
      <w:start w:val="5"/>
      <w:numFmt w:val="decimal"/>
      <w:lvlText w:val="%1.%2"/>
      <w:lvlJc w:val="left"/>
      <w:pPr>
        <w:ind w:left="917" w:hanging="370"/>
      </w:pPr>
      <w:rPr>
        <w:rFonts w:ascii="Arial" w:eastAsia="Arial" w:hAnsi="Arial" w:cs="Arial" w:hint="default"/>
        <w:color w:val="808080"/>
        <w:spacing w:val="-1"/>
        <w:w w:val="100"/>
        <w:sz w:val="22"/>
        <w:szCs w:val="22"/>
        <w:lang w:val="en-GB" w:eastAsia="en-GB" w:bidi="en-GB"/>
      </w:rPr>
    </w:lvl>
    <w:lvl w:ilvl="2">
      <w:numFmt w:val="bullet"/>
      <w:lvlText w:val="•"/>
      <w:lvlJc w:val="left"/>
      <w:pPr>
        <w:ind w:left="2299" w:hanging="370"/>
      </w:pPr>
      <w:rPr>
        <w:rFonts w:hint="default"/>
        <w:lang w:val="en-GB" w:eastAsia="en-GB" w:bidi="en-GB"/>
      </w:rPr>
    </w:lvl>
    <w:lvl w:ilvl="3">
      <w:numFmt w:val="bullet"/>
      <w:lvlText w:val="•"/>
      <w:lvlJc w:val="left"/>
      <w:pPr>
        <w:ind w:left="2989" w:hanging="370"/>
      </w:pPr>
      <w:rPr>
        <w:rFonts w:hint="default"/>
        <w:lang w:val="en-GB" w:eastAsia="en-GB" w:bidi="en-GB"/>
      </w:rPr>
    </w:lvl>
    <w:lvl w:ilvl="4">
      <w:numFmt w:val="bullet"/>
      <w:lvlText w:val="•"/>
      <w:lvlJc w:val="left"/>
      <w:pPr>
        <w:ind w:left="3679" w:hanging="370"/>
      </w:pPr>
      <w:rPr>
        <w:rFonts w:hint="default"/>
        <w:lang w:val="en-GB" w:eastAsia="en-GB" w:bidi="en-GB"/>
      </w:rPr>
    </w:lvl>
    <w:lvl w:ilvl="5">
      <w:numFmt w:val="bullet"/>
      <w:lvlText w:val="•"/>
      <w:lvlJc w:val="left"/>
      <w:pPr>
        <w:ind w:left="4369" w:hanging="370"/>
      </w:pPr>
      <w:rPr>
        <w:rFonts w:hint="default"/>
        <w:lang w:val="en-GB" w:eastAsia="en-GB" w:bidi="en-GB"/>
      </w:rPr>
    </w:lvl>
    <w:lvl w:ilvl="6">
      <w:numFmt w:val="bullet"/>
      <w:lvlText w:val="•"/>
      <w:lvlJc w:val="left"/>
      <w:pPr>
        <w:ind w:left="5058" w:hanging="370"/>
      </w:pPr>
      <w:rPr>
        <w:rFonts w:hint="default"/>
        <w:lang w:val="en-GB" w:eastAsia="en-GB" w:bidi="en-GB"/>
      </w:rPr>
    </w:lvl>
    <w:lvl w:ilvl="7">
      <w:numFmt w:val="bullet"/>
      <w:lvlText w:val="•"/>
      <w:lvlJc w:val="left"/>
      <w:pPr>
        <w:ind w:left="5748" w:hanging="370"/>
      </w:pPr>
      <w:rPr>
        <w:rFonts w:hint="default"/>
        <w:lang w:val="en-GB" w:eastAsia="en-GB" w:bidi="en-GB"/>
      </w:rPr>
    </w:lvl>
    <w:lvl w:ilvl="8">
      <w:numFmt w:val="bullet"/>
      <w:lvlText w:val="•"/>
      <w:lvlJc w:val="left"/>
      <w:pPr>
        <w:ind w:left="6438" w:hanging="370"/>
      </w:pPr>
      <w:rPr>
        <w:rFonts w:hint="default"/>
        <w:lang w:val="en-GB" w:eastAsia="en-GB" w:bidi="en-GB"/>
      </w:rPr>
    </w:lvl>
  </w:abstractNum>
  <w:abstractNum w:abstractNumId="20" w15:restartNumberingAfterBreak="0">
    <w:nsid w:val="3ABA2F72"/>
    <w:multiLevelType w:val="hybridMultilevel"/>
    <w:tmpl w:val="AD90DC9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1" w15:restartNumberingAfterBreak="0">
    <w:nsid w:val="3B086DC3"/>
    <w:multiLevelType w:val="hybridMultilevel"/>
    <w:tmpl w:val="B69C37BC"/>
    <w:lvl w:ilvl="0" w:tplc="94E0BAB8">
      <w:start w:val="5"/>
      <w:numFmt w:val="decimal"/>
      <w:lvlText w:val="%1."/>
      <w:lvlJc w:val="left"/>
      <w:pPr>
        <w:ind w:left="499" w:hanging="360"/>
      </w:pPr>
      <w:rPr>
        <w:rFonts w:hint="default"/>
      </w:rPr>
    </w:lvl>
    <w:lvl w:ilvl="1" w:tplc="08090019" w:tentative="1">
      <w:start w:val="1"/>
      <w:numFmt w:val="lowerLetter"/>
      <w:lvlText w:val="%2."/>
      <w:lvlJc w:val="left"/>
      <w:pPr>
        <w:ind w:left="1219" w:hanging="360"/>
      </w:pPr>
    </w:lvl>
    <w:lvl w:ilvl="2" w:tplc="0809001B" w:tentative="1">
      <w:start w:val="1"/>
      <w:numFmt w:val="lowerRoman"/>
      <w:lvlText w:val="%3."/>
      <w:lvlJc w:val="right"/>
      <w:pPr>
        <w:ind w:left="1939" w:hanging="180"/>
      </w:pPr>
    </w:lvl>
    <w:lvl w:ilvl="3" w:tplc="0809000F" w:tentative="1">
      <w:start w:val="1"/>
      <w:numFmt w:val="decimal"/>
      <w:lvlText w:val="%4."/>
      <w:lvlJc w:val="left"/>
      <w:pPr>
        <w:ind w:left="2659" w:hanging="360"/>
      </w:pPr>
    </w:lvl>
    <w:lvl w:ilvl="4" w:tplc="08090019" w:tentative="1">
      <w:start w:val="1"/>
      <w:numFmt w:val="lowerLetter"/>
      <w:lvlText w:val="%5."/>
      <w:lvlJc w:val="left"/>
      <w:pPr>
        <w:ind w:left="3379" w:hanging="360"/>
      </w:pPr>
    </w:lvl>
    <w:lvl w:ilvl="5" w:tplc="0809001B" w:tentative="1">
      <w:start w:val="1"/>
      <w:numFmt w:val="lowerRoman"/>
      <w:lvlText w:val="%6."/>
      <w:lvlJc w:val="right"/>
      <w:pPr>
        <w:ind w:left="4099" w:hanging="180"/>
      </w:pPr>
    </w:lvl>
    <w:lvl w:ilvl="6" w:tplc="0809000F" w:tentative="1">
      <w:start w:val="1"/>
      <w:numFmt w:val="decimal"/>
      <w:lvlText w:val="%7."/>
      <w:lvlJc w:val="left"/>
      <w:pPr>
        <w:ind w:left="4819" w:hanging="360"/>
      </w:pPr>
    </w:lvl>
    <w:lvl w:ilvl="7" w:tplc="08090019" w:tentative="1">
      <w:start w:val="1"/>
      <w:numFmt w:val="lowerLetter"/>
      <w:lvlText w:val="%8."/>
      <w:lvlJc w:val="left"/>
      <w:pPr>
        <w:ind w:left="5539" w:hanging="360"/>
      </w:pPr>
    </w:lvl>
    <w:lvl w:ilvl="8" w:tplc="0809001B" w:tentative="1">
      <w:start w:val="1"/>
      <w:numFmt w:val="lowerRoman"/>
      <w:lvlText w:val="%9."/>
      <w:lvlJc w:val="right"/>
      <w:pPr>
        <w:ind w:left="6259" w:hanging="180"/>
      </w:pPr>
    </w:lvl>
  </w:abstractNum>
  <w:abstractNum w:abstractNumId="22" w15:restartNumberingAfterBreak="0">
    <w:nsid w:val="42BD144B"/>
    <w:multiLevelType w:val="hybridMultilevel"/>
    <w:tmpl w:val="5C30FB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2DF33B4"/>
    <w:multiLevelType w:val="hybridMultilevel"/>
    <w:tmpl w:val="8654D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47059D"/>
    <w:multiLevelType w:val="hybridMultilevel"/>
    <w:tmpl w:val="FED0128E"/>
    <w:lvl w:ilvl="0" w:tplc="68C0F766">
      <w:start w:val="5"/>
      <w:numFmt w:val="decimal"/>
      <w:lvlText w:val="%1."/>
      <w:lvlJc w:val="left"/>
      <w:pPr>
        <w:ind w:left="426" w:hanging="284"/>
      </w:pPr>
      <w:rPr>
        <w:rFonts w:ascii="Arial" w:eastAsia="Arial" w:hAnsi="Arial" w:cs="Arial" w:hint="default"/>
        <w:b/>
        <w:bCs/>
        <w:color w:val="808080"/>
        <w:w w:val="99"/>
        <w:sz w:val="24"/>
        <w:szCs w:val="24"/>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5" w15:restartNumberingAfterBreak="0">
    <w:nsid w:val="4F9F56CF"/>
    <w:multiLevelType w:val="multilevel"/>
    <w:tmpl w:val="24B6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3725E9"/>
    <w:multiLevelType w:val="multilevel"/>
    <w:tmpl w:val="2E08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B659CB"/>
    <w:multiLevelType w:val="multilevel"/>
    <w:tmpl w:val="F7B4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5B3E0C"/>
    <w:multiLevelType w:val="hybridMultilevel"/>
    <w:tmpl w:val="77020E50"/>
    <w:lvl w:ilvl="0" w:tplc="65B2EB62">
      <w:start w:val="1"/>
      <w:numFmt w:val="decimal"/>
      <w:lvlText w:val="%1."/>
      <w:lvlJc w:val="left"/>
      <w:pPr>
        <w:ind w:left="860" w:hanging="720"/>
      </w:pPr>
      <w:rPr>
        <w:rFonts w:ascii="Arial" w:eastAsia="Arial" w:hAnsi="Arial" w:cs="Arial" w:hint="default"/>
        <w:b/>
        <w:bCs/>
        <w:color w:val="auto"/>
        <w:spacing w:val="0"/>
        <w:w w:val="99"/>
        <w:sz w:val="32"/>
        <w:szCs w:val="32"/>
        <w:lang w:val="en-GB" w:eastAsia="en-GB" w:bidi="en-GB"/>
      </w:rPr>
    </w:lvl>
    <w:lvl w:ilvl="1" w:tplc="CE82F05E">
      <w:numFmt w:val="bullet"/>
      <w:lvlText w:val=""/>
      <w:lvlJc w:val="left"/>
      <w:pPr>
        <w:ind w:left="860" w:hanging="356"/>
      </w:pPr>
      <w:rPr>
        <w:rFonts w:ascii="Symbol" w:eastAsia="Symbol" w:hAnsi="Symbol" w:cs="Symbol" w:hint="default"/>
        <w:w w:val="100"/>
        <w:sz w:val="24"/>
        <w:szCs w:val="24"/>
        <w:lang w:val="en-GB" w:eastAsia="en-GB" w:bidi="en-GB"/>
      </w:rPr>
    </w:lvl>
    <w:lvl w:ilvl="2" w:tplc="053C2388">
      <w:numFmt w:val="bullet"/>
      <w:lvlText w:val="•"/>
      <w:lvlJc w:val="left"/>
      <w:pPr>
        <w:ind w:left="2809" w:hanging="356"/>
      </w:pPr>
      <w:rPr>
        <w:rFonts w:hint="default"/>
        <w:lang w:val="en-GB" w:eastAsia="en-GB" w:bidi="en-GB"/>
      </w:rPr>
    </w:lvl>
    <w:lvl w:ilvl="3" w:tplc="67384CBC">
      <w:numFmt w:val="bullet"/>
      <w:lvlText w:val="•"/>
      <w:lvlJc w:val="left"/>
      <w:pPr>
        <w:ind w:left="3783" w:hanging="356"/>
      </w:pPr>
      <w:rPr>
        <w:rFonts w:hint="default"/>
        <w:lang w:val="en-GB" w:eastAsia="en-GB" w:bidi="en-GB"/>
      </w:rPr>
    </w:lvl>
    <w:lvl w:ilvl="4" w:tplc="438019A8">
      <w:numFmt w:val="bullet"/>
      <w:lvlText w:val="•"/>
      <w:lvlJc w:val="left"/>
      <w:pPr>
        <w:ind w:left="4758" w:hanging="356"/>
      </w:pPr>
      <w:rPr>
        <w:rFonts w:hint="default"/>
        <w:lang w:val="en-GB" w:eastAsia="en-GB" w:bidi="en-GB"/>
      </w:rPr>
    </w:lvl>
    <w:lvl w:ilvl="5" w:tplc="CA188800">
      <w:numFmt w:val="bullet"/>
      <w:lvlText w:val="•"/>
      <w:lvlJc w:val="left"/>
      <w:pPr>
        <w:ind w:left="5733" w:hanging="356"/>
      </w:pPr>
      <w:rPr>
        <w:rFonts w:hint="default"/>
        <w:lang w:val="en-GB" w:eastAsia="en-GB" w:bidi="en-GB"/>
      </w:rPr>
    </w:lvl>
    <w:lvl w:ilvl="6" w:tplc="E9A400F6">
      <w:numFmt w:val="bullet"/>
      <w:lvlText w:val="•"/>
      <w:lvlJc w:val="left"/>
      <w:pPr>
        <w:ind w:left="6707" w:hanging="356"/>
      </w:pPr>
      <w:rPr>
        <w:rFonts w:hint="default"/>
        <w:lang w:val="en-GB" w:eastAsia="en-GB" w:bidi="en-GB"/>
      </w:rPr>
    </w:lvl>
    <w:lvl w:ilvl="7" w:tplc="20C6C748">
      <w:numFmt w:val="bullet"/>
      <w:lvlText w:val="•"/>
      <w:lvlJc w:val="left"/>
      <w:pPr>
        <w:ind w:left="7682" w:hanging="356"/>
      </w:pPr>
      <w:rPr>
        <w:rFonts w:hint="default"/>
        <w:lang w:val="en-GB" w:eastAsia="en-GB" w:bidi="en-GB"/>
      </w:rPr>
    </w:lvl>
    <w:lvl w:ilvl="8" w:tplc="CC847278">
      <w:numFmt w:val="bullet"/>
      <w:lvlText w:val="•"/>
      <w:lvlJc w:val="left"/>
      <w:pPr>
        <w:ind w:left="8657" w:hanging="356"/>
      </w:pPr>
      <w:rPr>
        <w:rFonts w:hint="default"/>
        <w:lang w:val="en-GB" w:eastAsia="en-GB" w:bidi="en-GB"/>
      </w:rPr>
    </w:lvl>
  </w:abstractNum>
  <w:abstractNum w:abstractNumId="29" w15:restartNumberingAfterBreak="0">
    <w:nsid w:val="60D928F9"/>
    <w:multiLevelType w:val="hybridMultilevel"/>
    <w:tmpl w:val="115C393A"/>
    <w:lvl w:ilvl="0" w:tplc="08090001">
      <w:start w:val="1"/>
      <w:numFmt w:val="bullet"/>
      <w:lvlText w:val=""/>
      <w:lvlJc w:val="left"/>
      <w:pPr>
        <w:ind w:left="1220" w:hanging="360"/>
      </w:pPr>
      <w:rPr>
        <w:rFonts w:ascii="Symbol" w:hAnsi="Symbol" w:hint="default"/>
      </w:rPr>
    </w:lvl>
    <w:lvl w:ilvl="1" w:tplc="08090003" w:tentative="1">
      <w:start w:val="1"/>
      <w:numFmt w:val="bullet"/>
      <w:lvlText w:val="o"/>
      <w:lvlJc w:val="left"/>
      <w:pPr>
        <w:ind w:left="1940" w:hanging="360"/>
      </w:pPr>
      <w:rPr>
        <w:rFonts w:ascii="Courier New" w:hAnsi="Courier New" w:cs="Courier New" w:hint="default"/>
      </w:rPr>
    </w:lvl>
    <w:lvl w:ilvl="2" w:tplc="08090005" w:tentative="1">
      <w:start w:val="1"/>
      <w:numFmt w:val="bullet"/>
      <w:lvlText w:val=""/>
      <w:lvlJc w:val="left"/>
      <w:pPr>
        <w:ind w:left="2660" w:hanging="360"/>
      </w:pPr>
      <w:rPr>
        <w:rFonts w:ascii="Wingdings" w:hAnsi="Wingdings" w:hint="default"/>
      </w:rPr>
    </w:lvl>
    <w:lvl w:ilvl="3" w:tplc="08090001" w:tentative="1">
      <w:start w:val="1"/>
      <w:numFmt w:val="bullet"/>
      <w:lvlText w:val=""/>
      <w:lvlJc w:val="left"/>
      <w:pPr>
        <w:ind w:left="3380" w:hanging="360"/>
      </w:pPr>
      <w:rPr>
        <w:rFonts w:ascii="Symbol" w:hAnsi="Symbol" w:hint="default"/>
      </w:rPr>
    </w:lvl>
    <w:lvl w:ilvl="4" w:tplc="08090003" w:tentative="1">
      <w:start w:val="1"/>
      <w:numFmt w:val="bullet"/>
      <w:lvlText w:val="o"/>
      <w:lvlJc w:val="left"/>
      <w:pPr>
        <w:ind w:left="4100" w:hanging="360"/>
      </w:pPr>
      <w:rPr>
        <w:rFonts w:ascii="Courier New" w:hAnsi="Courier New" w:cs="Courier New" w:hint="default"/>
      </w:rPr>
    </w:lvl>
    <w:lvl w:ilvl="5" w:tplc="08090005" w:tentative="1">
      <w:start w:val="1"/>
      <w:numFmt w:val="bullet"/>
      <w:lvlText w:val=""/>
      <w:lvlJc w:val="left"/>
      <w:pPr>
        <w:ind w:left="4820" w:hanging="360"/>
      </w:pPr>
      <w:rPr>
        <w:rFonts w:ascii="Wingdings" w:hAnsi="Wingdings" w:hint="default"/>
      </w:rPr>
    </w:lvl>
    <w:lvl w:ilvl="6" w:tplc="08090001" w:tentative="1">
      <w:start w:val="1"/>
      <w:numFmt w:val="bullet"/>
      <w:lvlText w:val=""/>
      <w:lvlJc w:val="left"/>
      <w:pPr>
        <w:ind w:left="5540" w:hanging="360"/>
      </w:pPr>
      <w:rPr>
        <w:rFonts w:ascii="Symbol" w:hAnsi="Symbol" w:hint="default"/>
      </w:rPr>
    </w:lvl>
    <w:lvl w:ilvl="7" w:tplc="08090003" w:tentative="1">
      <w:start w:val="1"/>
      <w:numFmt w:val="bullet"/>
      <w:lvlText w:val="o"/>
      <w:lvlJc w:val="left"/>
      <w:pPr>
        <w:ind w:left="6260" w:hanging="360"/>
      </w:pPr>
      <w:rPr>
        <w:rFonts w:ascii="Courier New" w:hAnsi="Courier New" w:cs="Courier New" w:hint="default"/>
      </w:rPr>
    </w:lvl>
    <w:lvl w:ilvl="8" w:tplc="08090005" w:tentative="1">
      <w:start w:val="1"/>
      <w:numFmt w:val="bullet"/>
      <w:lvlText w:val=""/>
      <w:lvlJc w:val="left"/>
      <w:pPr>
        <w:ind w:left="6980" w:hanging="360"/>
      </w:pPr>
      <w:rPr>
        <w:rFonts w:ascii="Wingdings" w:hAnsi="Wingdings" w:hint="default"/>
      </w:rPr>
    </w:lvl>
  </w:abstractNum>
  <w:abstractNum w:abstractNumId="30" w15:restartNumberingAfterBreak="0">
    <w:nsid w:val="62B44DFE"/>
    <w:multiLevelType w:val="hybridMultilevel"/>
    <w:tmpl w:val="B8CE4160"/>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31" w15:restartNumberingAfterBreak="0">
    <w:nsid w:val="63980401"/>
    <w:multiLevelType w:val="hybridMultilevel"/>
    <w:tmpl w:val="79260554"/>
    <w:lvl w:ilvl="0" w:tplc="08090001">
      <w:start w:val="1"/>
      <w:numFmt w:val="bullet"/>
      <w:lvlText w:val=""/>
      <w:lvlJc w:val="left"/>
      <w:pPr>
        <w:ind w:left="1220" w:hanging="360"/>
      </w:pPr>
      <w:rPr>
        <w:rFonts w:ascii="Symbol" w:hAnsi="Symbol" w:hint="default"/>
      </w:rPr>
    </w:lvl>
    <w:lvl w:ilvl="1" w:tplc="08090003" w:tentative="1">
      <w:start w:val="1"/>
      <w:numFmt w:val="bullet"/>
      <w:lvlText w:val="o"/>
      <w:lvlJc w:val="left"/>
      <w:pPr>
        <w:ind w:left="1940" w:hanging="360"/>
      </w:pPr>
      <w:rPr>
        <w:rFonts w:ascii="Courier New" w:hAnsi="Courier New" w:cs="Courier New" w:hint="default"/>
      </w:rPr>
    </w:lvl>
    <w:lvl w:ilvl="2" w:tplc="08090005" w:tentative="1">
      <w:start w:val="1"/>
      <w:numFmt w:val="bullet"/>
      <w:lvlText w:val=""/>
      <w:lvlJc w:val="left"/>
      <w:pPr>
        <w:ind w:left="2660" w:hanging="360"/>
      </w:pPr>
      <w:rPr>
        <w:rFonts w:ascii="Wingdings" w:hAnsi="Wingdings" w:hint="default"/>
      </w:rPr>
    </w:lvl>
    <w:lvl w:ilvl="3" w:tplc="08090001" w:tentative="1">
      <w:start w:val="1"/>
      <w:numFmt w:val="bullet"/>
      <w:lvlText w:val=""/>
      <w:lvlJc w:val="left"/>
      <w:pPr>
        <w:ind w:left="3380" w:hanging="360"/>
      </w:pPr>
      <w:rPr>
        <w:rFonts w:ascii="Symbol" w:hAnsi="Symbol" w:hint="default"/>
      </w:rPr>
    </w:lvl>
    <w:lvl w:ilvl="4" w:tplc="08090003" w:tentative="1">
      <w:start w:val="1"/>
      <w:numFmt w:val="bullet"/>
      <w:lvlText w:val="o"/>
      <w:lvlJc w:val="left"/>
      <w:pPr>
        <w:ind w:left="4100" w:hanging="360"/>
      </w:pPr>
      <w:rPr>
        <w:rFonts w:ascii="Courier New" w:hAnsi="Courier New" w:cs="Courier New" w:hint="default"/>
      </w:rPr>
    </w:lvl>
    <w:lvl w:ilvl="5" w:tplc="08090005" w:tentative="1">
      <w:start w:val="1"/>
      <w:numFmt w:val="bullet"/>
      <w:lvlText w:val=""/>
      <w:lvlJc w:val="left"/>
      <w:pPr>
        <w:ind w:left="4820" w:hanging="360"/>
      </w:pPr>
      <w:rPr>
        <w:rFonts w:ascii="Wingdings" w:hAnsi="Wingdings" w:hint="default"/>
      </w:rPr>
    </w:lvl>
    <w:lvl w:ilvl="6" w:tplc="08090001" w:tentative="1">
      <w:start w:val="1"/>
      <w:numFmt w:val="bullet"/>
      <w:lvlText w:val=""/>
      <w:lvlJc w:val="left"/>
      <w:pPr>
        <w:ind w:left="5540" w:hanging="360"/>
      </w:pPr>
      <w:rPr>
        <w:rFonts w:ascii="Symbol" w:hAnsi="Symbol" w:hint="default"/>
      </w:rPr>
    </w:lvl>
    <w:lvl w:ilvl="7" w:tplc="08090003" w:tentative="1">
      <w:start w:val="1"/>
      <w:numFmt w:val="bullet"/>
      <w:lvlText w:val="o"/>
      <w:lvlJc w:val="left"/>
      <w:pPr>
        <w:ind w:left="6260" w:hanging="360"/>
      </w:pPr>
      <w:rPr>
        <w:rFonts w:ascii="Courier New" w:hAnsi="Courier New" w:cs="Courier New" w:hint="default"/>
      </w:rPr>
    </w:lvl>
    <w:lvl w:ilvl="8" w:tplc="08090005" w:tentative="1">
      <w:start w:val="1"/>
      <w:numFmt w:val="bullet"/>
      <w:lvlText w:val=""/>
      <w:lvlJc w:val="left"/>
      <w:pPr>
        <w:ind w:left="6980" w:hanging="360"/>
      </w:pPr>
      <w:rPr>
        <w:rFonts w:ascii="Wingdings" w:hAnsi="Wingdings" w:hint="default"/>
      </w:rPr>
    </w:lvl>
  </w:abstractNum>
  <w:abstractNum w:abstractNumId="32" w15:restartNumberingAfterBreak="0">
    <w:nsid w:val="747465E7"/>
    <w:multiLevelType w:val="multilevel"/>
    <w:tmpl w:val="4D70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6876B8A"/>
    <w:multiLevelType w:val="multilevel"/>
    <w:tmpl w:val="CB06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4A10E3"/>
    <w:multiLevelType w:val="hybridMultilevel"/>
    <w:tmpl w:val="F53C85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7CF1535"/>
    <w:multiLevelType w:val="multilevel"/>
    <w:tmpl w:val="A2A8A3F0"/>
    <w:lvl w:ilvl="0">
      <w:start w:val="3"/>
      <w:numFmt w:val="decimal"/>
      <w:lvlText w:val="%1."/>
      <w:lvlJc w:val="left"/>
      <w:pPr>
        <w:ind w:left="860" w:hanging="360"/>
      </w:pPr>
      <w:rPr>
        <w:rFonts w:ascii="Arial" w:eastAsia="Arial" w:hAnsi="Arial" w:cs="Arial" w:hint="default"/>
        <w:b/>
        <w:bCs/>
        <w:color w:val="234060"/>
        <w:spacing w:val="-1"/>
        <w:w w:val="100"/>
        <w:sz w:val="22"/>
        <w:szCs w:val="22"/>
        <w:lang w:val="en-GB" w:eastAsia="en-GB" w:bidi="en-GB"/>
      </w:rPr>
    </w:lvl>
    <w:lvl w:ilvl="1">
      <w:start w:val="1"/>
      <w:numFmt w:val="decimal"/>
      <w:lvlText w:val="%1.%2"/>
      <w:lvlJc w:val="left"/>
      <w:pPr>
        <w:ind w:left="1273" w:hanging="425"/>
      </w:pPr>
      <w:rPr>
        <w:rFonts w:ascii="Arial" w:eastAsia="Arial" w:hAnsi="Arial" w:cs="Arial" w:hint="default"/>
        <w:color w:val="808080"/>
        <w:w w:val="100"/>
        <w:sz w:val="22"/>
        <w:szCs w:val="22"/>
        <w:lang w:val="en-GB" w:eastAsia="en-GB" w:bidi="en-GB"/>
      </w:rPr>
    </w:lvl>
    <w:lvl w:ilvl="2">
      <w:numFmt w:val="bullet"/>
      <w:lvlText w:val="•"/>
      <w:lvlJc w:val="left"/>
      <w:pPr>
        <w:ind w:left="2316" w:hanging="425"/>
      </w:pPr>
      <w:rPr>
        <w:rFonts w:hint="default"/>
        <w:lang w:val="en-GB" w:eastAsia="en-GB" w:bidi="en-GB"/>
      </w:rPr>
    </w:lvl>
    <w:lvl w:ilvl="3">
      <w:numFmt w:val="bullet"/>
      <w:lvlText w:val="•"/>
      <w:lvlJc w:val="left"/>
      <w:pPr>
        <w:ind w:left="3352" w:hanging="425"/>
      </w:pPr>
      <w:rPr>
        <w:rFonts w:hint="default"/>
        <w:lang w:val="en-GB" w:eastAsia="en-GB" w:bidi="en-GB"/>
      </w:rPr>
    </w:lvl>
    <w:lvl w:ilvl="4">
      <w:numFmt w:val="bullet"/>
      <w:lvlText w:val="•"/>
      <w:lvlJc w:val="left"/>
      <w:pPr>
        <w:ind w:left="4388" w:hanging="425"/>
      </w:pPr>
      <w:rPr>
        <w:rFonts w:hint="default"/>
        <w:lang w:val="en-GB" w:eastAsia="en-GB" w:bidi="en-GB"/>
      </w:rPr>
    </w:lvl>
    <w:lvl w:ilvl="5">
      <w:numFmt w:val="bullet"/>
      <w:lvlText w:val="•"/>
      <w:lvlJc w:val="left"/>
      <w:pPr>
        <w:ind w:left="5425" w:hanging="425"/>
      </w:pPr>
      <w:rPr>
        <w:rFonts w:hint="default"/>
        <w:lang w:val="en-GB" w:eastAsia="en-GB" w:bidi="en-GB"/>
      </w:rPr>
    </w:lvl>
    <w:lvl w:ilvl="6">
      <w:numFmt w:val="bullet"/>
      <w:lvlText w:val="•"/>
      <w:lvlJc w:val="left"/>
      <w:pPr>
        <w:ind w:left="6461" w:hanging="425"/>
      </w:pPr>
      <w:rPr>
        <w:rFonts w:hint="default"/>
        <w:lang w:val="en-GB" w:eastAsia="en-GB" w:bidi="en-GB"/>
      </w:rPr>
    </w:lvl>
    <w:lvl w:ilvl="7">
      <w:numFmt w:val="bullet"/>
      <w:lvlText w:val="•"/>
      <w:lvlJc w:val="left"/>
      <w:pPr>
        <w:ind w:left="7497" w:hanging="425"/>
      </w:pPr>
      <w:rPr>
        <w:rFonts w:hint="default"/>
        <w:lang w:val="en-GB" w:eastAsia="en-GB" w:bidi="en-GB"/>
      </w:rPr>
    </w:lvl>
    <w:lvl w:ilvl="8">
      <w:numFmt w:val="bullet"/>
      <w:lvlText w:val="•"/>
      <w:lvlJc w:val="left"/>
      <w:pPr>
        <w:ind w:left="8533" w:hanging="425"/>
      </w:pPr>
      <w:rPr>
        <w:rFonts w:hint="default"/>
        <w:lang w:val="en-GB" w:eastAsia="en-GB" w:bidi="en-GB"/>
      </w:rPr>
    </w:lvl>
  </w:abstractNum>
  <w:abstractNum w:abstractNumId="36" w15:restartNumberingAfterBreak="0">
    <w:nsid w:val="7A1F4D7E"/>
    <w:multiLevelType w:val="hybridMultilevel"/>
    <w:tmpl w:val="DA8E2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D42AFA"/>
    <w:multiLevelType w:val="hybridMultilevel"/>
    <w:tmpl w:val="E3F02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7855413">
    <w:abstractNumId w:val="17"/>
  </w:num>
  <w:num w:numId="2" w16cid:durableId="1821653915">
    <w:abstractNumId w:val="8"/>
  </w:num>
  <w:num w:numId="3" w16cid:durableId="1216895061">
    <w:abstractNumId w:val="28"/>
  </w:num>
  <w:num w:numId="4" w16cid:durableId="933126327">
    <w:abstractNumId w:val="35"/>
  </w:num>
  <w:num w:numId="5" w16cid:durableId="756906683">
    <w:abstractNumId w:val="19"/>
  </w:num>
  <w:num w:numId="6" w16cid:durableId="1869758492">
    <w:abstractNumId w:val="12"/>
  </w:num>
  <w:num w:numId="7" w16cid:durableId="2021156824">
    <w:abstractNumId w:val="29"/>
  </w:num>
  <w:num w:numId="8" w16cid:durableId="1550651449">
    <w:abstractNumId w:val="34"/>
  </w:num>
  <w:num w:numId="9" w16cid:durableId="1378773411">
    <w:abstractNumId w:val="7"/>
  </w:num>
  <w:num w:numId="10" w16cid:durableId="1226182930">
    <w:abstractNumId w:val="31"/>
  </w:num>
  <w:num w:numId="11" w16cid:durableId="2104034908">
    <w:abstractNumId w:val="5"/>
  </w:num>
  <w:num w:numId="12" w16cid:durableId="1872836810">
    <w:abstractNumId w:val="14"/>
  </w:num>
  <w:num w:numId="13" w16cid:durableId="358553970">
    <w:abstractNumId w:val="23"/>
  </w:num>
  <w:num w:numId="14" w16cid:durableId="1346984151">
    <w:abstractNumId w:val="21"/>
  </w:num>
  <w:num w:numId="15" w16cid:durableId="1571841930">
    <w:abstractNumId w:val="24"/>
  </w:num>
  <w:num w:numId="16" w16cid:durableId="204145449">
    <w:abstractNumId w:val="11"/>
  </w:num>
  <w:num w:numId="17" w16cid:durableId="263997421">
    <w:abstractNumId w:val="4"/>
  </w:num>
  <w:num w:numId="18" w16cid:durableId="2086756972">
    <w:abstractNumId w:val="10"/>
  </w:num>
  <w:num w:numId="19" w16cid:durableId="1828352896">
    <w:abstractNumId w:val="3"/>
  </w:num>
  <w:num w:numId="20" w16cid:durableId="1059477246">
    <w:abstractNumId w:val="36"/>
  </w:num>
  <w:num w:numId="21" w16cid:durableId="1958179916">
    <w:abstractNumId w:val="0"/>
  </w:num>
  <w:num w:numId="22" w16cid:durableId="1436945091">
    <w:abstractNumId w:val="2"/>
  </w:num>
  <w:num w:numId="23" w16cid:durableId="63381757">
    <w:abstractNumId w:val="1"/>
  </w:num>
  <w:num w:numId="24" w16cid:durableId="157305568">
    <w:abstractNumId w:val="9"/>
  </w:num>
  <w:num w:numId="25" w16cid:durableId="1732653734">
    <w:abstractNumId w:val="16"/>
  </w:num>
  <w:num w:numId="26" w16cid:durableId="1806504622">
    <w:abstractNumId w:val="26"/>
  </w:num>
  <w:num w:numId="27" w16cid:durableId="1529220114">
    <w:abstractNumId w:val="33"/>
  </w:num>
  <w:num w:numId="28" w16cid:durableId="787434192">
    <w:abstractNumId w:val="22"/>
  </w:num>
  <w:num w:numId="29" w16cid:durableId="2020699102">
    <w:abstractNumId w:val="25"/>
  </w:num>
  <w:num w:numId="30" w16cid:durableId="1863087677">
    <w:abstractNumId w:val="32"/>
  </w:num>
  <w:num w:numId="31" w16cid:durableId="886455324">
    <w:abstractNumId w:val="27"/>
  </w:num>
  <w:num w:numId="32" w16cid:durableId="308898387">
    <w:abstractNumId w:val="18"/>
  </w:num>
  <w:num w:numId="33" w16cid:durableId="821698193">
    <w:abstractNumId w:val="30"/>
  </w:num>
  <w:num w:numId="34" w16cid:durableId="1849177182">
    <w:abstractNumId w:val="15"/>
  </w:num>
  <w:num w:numId="35" w16cid:durableId="1036583999">
    <w:abstractNumId w:val="14"/>
    <w:lvlOverride w:ilvl="0">
      <w:startOverride w:val="3"/>
    </w:lvlOverride>
    <w:lvlOverride w:ilvl="1"/>
  </w:num>
  <w:num w:numId="36" w16cid:durableId="823358639">
    <w:abstractNumId w:val="20"/>
  </w:num>
  <w:num w:numId="37" w16cid:durableId="263270306">
    <w:abstractNumId w:val="13"/>
  </w:num>
  <w:num w:numId="38" w16cid:durableId="1948266345">
    <w:abstractNumId w:val="37"/>
  </w:num>
  <w:num w:numId="39" w16cid:durableId="2301163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ADE"/>
    <w:rsid w:val="00000A74"/>
    <w:rsid w:val="00001134"/>
    <w:rsid w:val="00001183"/>
    <w:rsid w:val="00002EC8"/>
    <w:rsid w:val="000035AF"/>
    <w:rsid w:val="00007327"/>
    <w:rsid w:val="0000741E"/>
    <w:rsid w:val="0001013D"/>
    <w:rsid w:val="00012034"/>
    <w:rsid w:val="000139A9"/>
    <w:rsid w:val="00015091"/>
    <w:rsid w:val="00017882"/>
    <w:rsid w:val="00017B88"/>
    <w:rsid w:val="00017F28"/>
    <w:rsid w:val="00022ECF"/>
    <w:rsid w:val="000234C9"/>
    <w:rsid w:val="000236F7"/>
    <w:rsid w:val="00023DCE"/>
    <w:rsid w:val="00025BBC"/>
    <w:rsid w:val="00025EDC"/>
    <w:rsid w:val="00030C41"/>
    <w:rsid w:val="000315E8"/>
    <w:rsid w:val="00031E67"/>
    <w:rsid w:val="00031FF2"/>
    <w:rsid w:val="000345AC"/>
    <w:rsid w:val="000347BB"/>
    <w:rsid w:val="00035EAA"/>
    <w:rsid w:val="00036E9D"/>
    <w:rsid w:val="000376D5"/>
    <w:rsid w:val="00042193"/>
    <w:rsid w:val="000421D0"/>
    <w:rsid w:val="00042EF6"/>
    <w:rsid w:val="00045086"/>
    <w:rsid w:val="00045822"/>
    <w:rsid w:val="000509EE"/>
    <w:rsid w:val="00051534"/>
    <w:rsid w:val="000524E8"/>
    <w:rsid w:val="00052A50"/>
    <w:rsid w:val="00053A64"/>
    <w:rsid w:val="00053D0F"/>
    <w:rsid w:val="00054EB3"/>
    <w:rsid w:val="000551FF"/>
    <w:rsid w:val="000568B9"/>
    <w:rsid w:val="000568D4"/>
    <w:rsid w:val="0005789C"/>
    <w:rsid w:val="0006062A"/>
    <w:rsid w:val="0006062E"/>
    <w:rsid w:val="00060C74"/>
    <w:rsid w:val="00063340"/>
    <w:rsid w:val="00063675"/>
    <w:rsid w:val="000636E1"/>
    <w:rsid w:val="000643C8"/>
    <w:rsid w:val="00064A36"/>
    <w:rsid w:val="000650C2"/>
    <w:rsid w:val="00065C5F"/>
    <w:rsid w:val="00066E0F"/>
    <w:rsid w:val="00067B4B"/>
    <w:rsid w:val="00067BEB"/>
    <w:rsid w:val="00070200"/>
    <w:rsid w:val="00072720"/>
    <w:rsid w:val="00072852"/>
    <w:rsid w:val="00073114"/>
    <w:rsid w:val="000754FD"/>
    <w:rsid w:val="00075566"/>
    <w:rsid w:val="00080D35"/>
    <w:rsid w:val="00083044"/>
    <w:rsid w:val="000852B8"/>
    <w:rsid w:val="00086492"/>
    <w:rsid w:val="00086F93"/>
    <w:rsid w:val="00086FCB"/>
    <w:rsid w:val="00087868"/>
    <w:rsid w:val="00090F8D"/>
    <w:rsid w:val="0009313F"/>
    <w:rsid w:val="000931AC"/>
    <w:rsid w:val="00094051"/>
    <w:rsid w:val="00095F9C"/>
    <w:rsid w:val="000A00D7"/>
    <w:rsid w:val="000A0C13"/>
    <w:rsid w:val="000A1643"/>
    <w:rsid w:val="000A1990"/>
    <w:rsid w:val="000A1C96"/>
    <w:rsid w:val="000A466C"/>
    <w:rsid w:val="000A496C"/>
    <w:rsid w:val="000A5408"/>
    <w:rsid w:val="000A571E"/>
    <w:rsid w:val="000B0D4B"/>
    <w:rsid w:val="000B17A2"/>
    <w:rsid w:val="000B370E"/>
    <w:rsid w:val="000B393F"/>
    <w:rsid w:val="000B3D51"/>
    <w:rsid w:val="000B5003"/>
    <w:rsid w:val="000B54B3"/>
    <w:rsid w:val="000B5C67"/>
    <w:rsid w:val="000B5E58"/>
    <w:rsid w:val="000B5E6B"/>
    <w:rsid w:val="000B6E25"/>
    <w:rsid w:val="000B71B0"/>
    <w:rsid w:val="000C4075"/>
    <w:rsid w:val="000C41C4"/>
    <w:rsid w:val="000C4338"/>
    <w:rsid w:val="000C44FB"/>
    <w:rsid w:val="000C5425"/>
    <w:rsid w:val="000C595C"/>
    <w:rsid w:val="000C6BE0"/>
    <w:rsid w:val="000C7505"/>
    <w:rsid w:val="000C7E58"/>
    <w:rsid w:val="000D03EA"/>
    <w:rsid w:val="000D085B"/>
    <w:rsid w:val="000D1E06"/>
    <w:rsid w:val="000D1FF9"/>
    <w:rsid w:val="000D2A1C"/>
    <w:rsid w:val="000D3812"/>
    <w:rsid w:val="000D40EC"/>
    <w:rsid w:val="000D59A0"/>
    <w:rsid w:val="000D704F"/>
    <w:rsid w:val="000D7F5A"/>
    <w:rsid w:val="000E2CE2"/>
    <w:rsid w:val="000E35F7"/>
    <w:rsid w:val="000E5883"/>
    <w:rsid w:val="000E58C6"/>
    <w:rsid w:val="000E5CAD"/>
    <w:rsid w:val="000E6267"/>
    <w:rsid w:val="000E6ADA"/>
    <w:rsid w:val="000E7E42"/>
    <w:rsid w:val="000F074E"/>
    <w:rsid w:val="000F20D6"/>
    <w:rsid w:val="000F2326"/>
    <w:rsid w:val="000F2530"/>
    <w:rsid w:val="000F25B8"/>
    <w:rsid w:val="000F471A"/>
    <w:rsid w:val="000F5673"/>
    <w:rsid w:val="000F67BF"/>
    <w:rsid w:val="000F6C1C"/>
    <w:rsid w:val="000F6F42"/>
    <w:rsid w:val="000F75B2"/>
    <w:rsid w:val="00101B26"/>
    <w:rsid w:val="001027EE"/>
    <w:rsid w:val="001031B5"/>
    <w:rsid w:val="00105538"/>
    <w:rsid w:val="00105A63"/>
    <w:rsid w:val="00105B3E"/>
    <w:rsid w:val="00106E0A"/>
    <w:rsid w:val="00107BD7"/>
    <w:rsid w:val="00111421"/>
    <w:rsid w:val="00111465"/>
    <w:rsid w:val="00111A64"/>
    <w:rsid w:val="00115AA3"/>
    <w:rsid w:val="00121CC9"/>
    <w:rsid w:val="00123A0B"/>
    <w:rsid w:val="001243DB"/>
    <w:rsid w:val="001247AC"/>
    <w:rsid w:val="00124BB5"/>
    <w:rsid w:val="00131793"/>
    <w:rsid w:val="0013182E"/>
    <w:rsid w:val="00132DD9"/>
    <w:rsid w:val="001337B3"/>
    <w:rsid w:val="001362B5"/>
    <w:rsid w:val="00136627"/>
    <w:rsid w:val="00137030"/>
    <w:rsid w:val="00137541"/>
    <w:rsid w:val="001375F2"/>
    <w:rsid w:val="00137BC7"/>
    <w:rsid w:val="00140104"/>
    <w:rsid w:val="001427ED"/>
    <w:rsid w:val="00142CA4"/>
    <w:rsid w:val="00143112"/>
    <w:rsid w:val="00144002"/>
    <w:rsid w:val="00145473"/>
    <w:rsid w:val="00145C2D"/>
    <w:rsid w:val="0014600B"/>
    <w:rsid w:val="00146A64"/>
    <w:rsid w:val="00146DC0"/>
    <w:rsid w:val="0015052C"/>
    <w:rsid w:val="00151959"/>
    <w:rsid w:val="0015250D"/>
    <w:rsid w:val="00153471"/>
    <w:rsid w:val="0015392A"/>
    <w:rsid w:val="00154EA0"/>
    <w:rsid w:val="001564BB"/>
    <w:rsid w:val="001565EC"/>
    <w:rsid w:val="00157D9E"/>
    <w:rsid w:val="00157F33"/>
    <w:rsid w:val="00161249"/>
    <w:rsid w:val="00162645"/>
    <w:rsid w:val="00162E5B"/>
    <w:rsid w:val="001640C7"/>
    <w:rsid w:val="00167279"/>
    <w:rsid w:val="0017121D"/>
    <w:rsid w:val="00173AC9"/>
    <w:rsid w:val="00174785"/>
    <w:rsid w:val="001771AE"/>
    <w:rsid w:val="00177CDF"/>
    <w:rsid w:val="00181296"/>
    <w:rsid w:val="001815A5"/>
    <w:rsid w:val="001817C5"/>
    <w:rsid w:val="00182DE2"/>
    <w:rsid w:val="00183659"/>
    <w:rsid w:val="001842F3"/>
    <w:rsid w:val="0018496C"/>
    <w:rsid w:val="00184980"/>
    <w:rsid w:val="00184F24"/>
    <w:rsid w:val="001871AC"/>
    <w:rsid w:val="001902FA"/>
    <w:rsid w:val="00190534"/>
    <w:rsid w:val="00191CFC"/>
    <w:rsid w:val="00192308"/>
    <w:rsid w:val="0019234B"/>
    <w:rsid w:val="00193D91"/>
    <w:rsid w:val="0019440B"/>
    <w:rsid w:val="00196F73"/>
    <w:rsid w:val="001977D4"/>
    <w:rsid w:val="001A0A2D"/>
    <w:rsid w:val="001A16DA"/>
    <w:rsid w:val="001A388C"/>
    <w:rsid w:val="001A5524"/>
    <w:rsid w:val="001A6B02"/>
    <w:rsid w:val="001A74C8"/>
    <w:rsid w:val="001A78C4"/>
    <w:rsid w:val="001B0222"/>
    <w:rsid w:val="001B0913"/>
    <w:rsid w:val="001B1B5C"/>
    <w:rsid w:val="001B1F98"/>
    <w:rsid w:val="001B7A4C"/>
    <w:rsid w:val="001C1574"/>
    <w:rsid w:val="001C4D6C"/>
    <w:rsid w:val="001C7C34"/>
    <w:rsid w:val="001C7F69"/>
    <w:rsid w:val="001D0B6E"/>
    <w:rsid w:val="001D0FAC"/>
    <w:rsid w:val="001D1AD4"/>
    <w:rsid w:val="001D1D92"/>
    <w:rsid w:val="001D2FCC"/>
    <w:rsid w:val="001D34A0"/>
    <w:rsid w:val="001D5428"/>
    <w:rsid w:val="001D7669"/>
    <w:rsid w:val="001E5B4F"/>
    <w:rsid w:val="001E5BA8"/>
    <w:rsid w:val="001E6DF3"/>
    <w:rsid w:val="001E742E"/>
    <w:rsid w:val="001E78F6"/>
    <w:rsid w:val="001E7E05"/>
    <w:rsid w:val="001F063F"/>
    <w:rsid w:val="001F1659"/>
    <w:rsid w:val="001F22DF"/>
    <w:rsid w:val="001F23DC"/>
    <w:rsid w:val="001F3DD4"/>
    <w:rsid w:val="001F563A"/>
    <w:rsid w:val="001F6735"/>
    <w:rsid w:val="001F6AF3"/>
    <w:rsid w:val="001F6FB4"/>
    <w:rsid w:val="0020234D"/>
    <w:rsid w:val="00204F31"/>
    <w:rsid w:val="00205EF1"/>
    <w:rsid w:val="0020610B"/>
    <w:rsid w:val="00206D86"/>
    <w:rsid w:val="00207C03"/>
    <w:rsid w:val="00210C90"/>
    <w:rsid w:val="00210D45"/>
    <w:rsid w:val="00213035"/>
    <w:rsid w:val="00213068"/>
    <w:rsid w:val="00213CF7"/>
    <w:rsid w:val="002141BA"/>
    <w:rsid w:val="0021486D"/>
    <w:rsid w:val="0022052F"/>
    <w:rsid w:val="00220E4C"/>
    <w:rsid w:val="00221544"/>
    <w:rsid w:val="0022178F"/>
    <w:rsid w:val="00222A8A"/>
    <w:rsid w:val="00222C81"/>
    <w:rsid w:val="002236C7"/>
    <w:rsid w:val="00224547"/>
    <w:rsid w:val="00230049"/>
    <w:rsid w:val="0023014C"/>
    <w:rsid w:val="00232077"/>
    <w:rsid w:val="0023222A"/>
    <w:rsid w:val="00233402"/>
    <w:rsid w:val="00233CDC"/>
    <w:rsid w:val="00234833"/>
    <w:rsid w:val="00234B12"/>
    <w:rsid w:val="0023575F"/>
    <w:rsid w:val="00235C86"/>
    <w:rsid w:val="00237226"/>
    <w:rsid w:val="002409C6"/>
    <w:rsid w:val="00243F06"/>
    <w:rsid w:val="002458FC"/>
    <w:rsid w:val="00246038"/>
    <w:rsid w:val="002474B7"/>
    <w:rsid w:val="00247D76"/>
    <w:rsid w:val="00251AC4"/>
    <w:rsid w:val="002543B6"/>
    <w:rsid w:val="002546D7"/>
    <w:rsid w:val="00256603"/>
    <w:rsid w:val="002579F3"/>
    <w:rsid w:val="00260913"/>
    <w:rsid w:val="00261E5D"/>
    <w:rsid w:val="00262AF5"/>
    <w:rsid w:val="002653E2"/>
    <w:rsid w:val="00265A05"/>
    <w:rsid w:val="0026630D"/>
    <w:rsid w:val="00267AB9"/>
    <w:rsid w:val="00270141"/>
    <w:rsid w:val="00270C3B"/>
    <w:rsid w:val="00270EC5"/>
    <w:rsid w:val="00273118"/>
    <w:rsid w:val="00273C1B"/>
    <w:rsid w:val="00274A2F"/>
    <w:rsid w:val="00276CBF"/>
    <w:rsid w:val="002774A5"/>
    <w:rsid w:val="00277EFB"/>
    <w:rsid w:val="00280B36"/>
    <w:rsid w:val="002811A3"/>
    <w:rsid w:val="002829DA"/>
    <w:rsid w:val="0028308C"/>
    <w:rsid w:val="00283B05"/>
    <w:rsid w:val="00283B89"/>
    <w:rsid w:val="00283F17"/>
    <w:rsid w:val="0028570D"/>
    <w:rsid w:val="002858AB"/>
    <w:rsid w:val="00286C13"/>
    <w:rsid w:val="00287054"/>
    <w:rsid w:val="00290FB4"/>
    <w:rsid w:val="00291155"/>
    <w:rsid w:val="00291C0B"/>
    <w:rsid w:val="00292625"/>
    <w:rsid w:val="0029389A"/>
    <w:rsid w:val="002939F6"/>
    <w:rsid w:val="002942E6"/>
    <w:rsid w:val="002949CF"/>
    <w:rsid w:val="00295092"/>
    <w:rsid w:val="00295E5F"/>
    <w:rsid w:val="002962EE"/>
    <w:rsid w:val="00296F5B"/>
    <w:rsid w:val="002973DE"/>
    <w:rsid w:val="00297C2F"/>
    <w:rsid w:val="002A22BD"/>
    <w:rsid w:val="002A3AB0"/>
    <w:rsid w:val="002A71A9"/>
    <w:rsid w:val="002B0075"/>
    <w:rsid w:val="002B092E"/>
    <w:rsid w:val="002B0DC2"/>
    <w:rsid w:val="002B2C08"/>
    <w:rsid w:val="002B3BF5"/>
    <w:rsid w:val="002B3C31"/>
    <w:rsid w:val="002B4A73"/>
    <w:rsid w:val="002B58A2"/>
    <w:rsid w:val="002B5C1D"/>
    <w:rsid w:val="002B7A18"/>
    <w:rsid w:val="002C1107"/>
    <w:rsid w:val="002C2664"/>
    <w:rsid w:val="002C2848"/>
    <w:rsid w:val="002C2D26"/>
    <w:rsid w:val="002C52D5"/>
    <w:rsid w:val="002C5471"/>
    <w:rsid w:val="002C5B7F"/>
    <w:rsid w:val="002C7014"/>
    <w:rsid w:val="002C7710"/>
    <w:rsid w:val="002C7C4C"/>
    <w:rsid w:val="002C7FEF"/>
    <w:rsid w:val="002D2388"/>
    <w:rsid w:val="002D36CA"/>
    <w:rsid w:val="002D7A6A"/>
    <w:rsid w:val="002E0639"/>
    <w:rsid w:val="002E1E2C"/>
    <w:rsid w:val="002E1FC7"/>
    <w:rsid w:val="002E454B"/>
    <w:rsid w:val="002E5DA5"/>
    <w:rsid w:val="002E609A"/>
    <w:rsid w:val="002E7EC8"/>
    <w:rsid w:val="002F0049"/>
    <w:rsid w:val="002F043F"/>
    <w:rsid w:val="002F0FF2"/>
    <w:rsid w:val="002F129D"/>
    <w:rsid w:val="002F2080"/>
    <w:rsid w:val="002F297F"/>
    <w:rsid w:val="002F2F03"/>
    <w:rsid w:val="002F472A"/>
    <w:rsid w:val="002F5964"/>
    <w:rsid w:val="002F5F43"/>
    <w:rsid w:val="002F7AAD"/>
    <w:rsid w:val="00301A40"/>
    <w:rsid w:val="00302750"/>
    <w:rsid w:val="00304049"/>
    <w:rsid w:val="00304ABA"/>
    <w:rsid w:val="003053B2"/>
    <w:rsid w:val="00305BA0"/>
    <w:rsid w:val="003072BC"/>
    <w:rsid w:val="003074EF"/>
    <w:rsid w:val="0031069C"/>
    <w:rsid w:val="00310EF2"/>
    <w:rsid w:val="00312457"/>
    <w:rsid w:val="00312A03"/>
    <w:rsid w:val="003135FF"/>
    <w:rsid w:val="00314786"/>
    <w:rsid w:val="00315B79"/>
    <w:rsid w:val="00320694"/>
    <w:rsid w:val="00320E08"/>
    <w:rsid w:val="00323411"/>
    <w:rsid w:val="00323485"/>
    <w:rsid w:val="00324B89"/>
    <w:rsid w:val="00325B1F"/>
    <w:rsid w:val="00325F10"/>
    <w:rsid w:val="003305E3"/>
    <w:rsid w:val="00330E59"/>
    <w:rsid w:val="00332EC5"/>
    <w:rsid w:val="00334DF7"/>
    <w:rsid w:val="003354AF"/>
    <w:rsid w:val="003355B3"/>
    <w:rsid w:val="003358F8"/>
    <w:rsid w:val="00335C7D"/>
    <w:rsid w:val="003366E7"/>
    <w:rsid w:val="00337E85"/>
    <w:rsid w:val="00337F76"/>
    <w:rsid w:val="00340BF2"/>
    <w:rsid w:val="00341354"/>
    <w:rsid w:val="00341DCE"/>
    <w:rsid w:val="00342251"/>
    <w:rsid w:val="00342580"/>
    <w:rsid w:val="00344636"/>
    <w:rsid w:val="00344DC4"/>
    <w:rsid w:val="0034594F"/>
    <w:rsid w:val="00345BD8"/>
    <w:rsid w:val="0034768C"/>
    <w:rsid w:val="00347A0A"/>
    <w:rsid w:val="003509B6"/>
    <w:rsid w:val="0035127C"/>
    <w:rsid w:val="00352104"/>
    <w:rsid w:val="003525A3"/>
    <w:rsid w:val="00352B60"/>
    <w:rsid w:val="00353262"/>
    <w:rsid w:val="003538EA"/>
    <w:rsid w:val="003548FD"/>
    <w:rsid w:val="00356096"/>
    <w:rsid w:val="00356C7B"/>
    <w:rsid w:val="00357061"/>
    <w:rsid w:val="00361230"/>
    <w:rsid w:val="003629CE"/>
    <w:rsid w:val="00362AE0"/>
    <w:rsid w:val="00363441"/>
    <w:rsid w:val="00363849"/>
    <w:rsid w:val="003638E7"/>
    <w:rsid w:val="00363A16"/>
    <w:rsid w:val="0036474C"/>
    <w:rsid w:val="00365083"/>
    <w:rsid w:val="003659D4"/>
    <w:rsid w:val="0036629C"/>
    <w:rsid w:val="00370413"/>
    <w:rsid w:val="00370B3B"/>
    <w:rsid w:val="00372CFC"/>
    <w:rsid w:val="00373C1A"/>
    <w:rsid w:val="00374015"/>
    <w:rsid w:val="00374E88"/>
    <w:rsid w:val="00375D13"/>
    <w:rsid w:val="003767A0"/>
    <w:rsid w:val="003802CF"/>
    <w:rsid w:val="003810CE"/>
    <w:rsid w:val="003815F3"/>
    <w:rsid w:val="00381AA1"/>
    <w:rsid w:val="00381E0E"/>
    <w:rsid w:val="0038225C"/>
    <w:rsid w:val="0038290B"/>
    <w:rsid w:val="0038326F"/>
    <w:rsid w:val="00383DE2"/>
    <w:rsid w:val="0038454E"/>
    <w:rsid w:val="00384603"/>
    <w:rsid w:val="003847E7"/>
    <w:rsid w:val="003855D2"/>
    <w:rsid w:val="00385802"/>
    <w:rsid w:val="00385A8C"/>
    <w:rsid w:val="00385DAD"/>
    <w:rsid w:val="00386B23"/>
    <w:rsid w:val="00386B7A"/>
    <w:rsid w:val="003875C6"/>
    <w:rsid w:val="003876FE"/>
    <w:rsid w:val="00387D9D"/>
    <w:rsid w:val="00390817"/>
    <w:rsid w:val="00390B98"/>
    <w:rsid w:val="00394521"/>
    <w:rsid w:val="00394BBA"/>
    <w:rsid w:val="00395BA0"/>
    <w:rsid w:val="003971B3"/>
    <w:rsid w:val="00397982"/>
    <w:rsid w:val="00397A35"/>
    <w:rsid w:val="003A151E"/>
    <w:rsid w:val="003B0331"/>
    <w:rsid w:val="003B119D"/>
    <w:rsid w:val="003B27CB"/>
    <w:rsid w:val="003B2C16"/>
    <w:rsid w:val="003B2CD6"/>
    <w:rsid w:val="003B3916"/>
    <w:rsid w:val="003B5011"/>
    <w:rsid w:val="003B60B6"/>
    <w:rsid w:val="003B7240"/>
    <w:rsid w:val="003B76B3"/>
    <w:rsid w:val="003C38E7"/>
    <w:rsid w:val="003C482A"/>
    <w:rsid w:val="003C490F"/>
    <w:rsid w:val="003C4E9F"/>
    <w:rsid w:val="003C547F"/>
    <w:rsid w:val="003C75AD"/>
    <w:rsid w:val="003D00F9"/>
    <w:rsid w:val="003D2847"/>
    <w:rsid w:val="003D45D8"/>
    <w:rsid w:val="003D4DBE"/>
    <w:rsid w:val="003E1693"/>
    <w:rsid w:val="003E1C2F"/>
    <w:rsid w:val="003E2F0E"/>
    <w:rsid w:val="003E3DFD"/>
    <w:rsid w:val="003E46EC"/>
    <w:rsid w:val="003E640F"/>
    <w:rsid w:val="003E6ACE"/>
    <w:rsid w:val="003E76EF"/>
    <w:rsid w:val="003E7F84"/>
    <w:rsid w:val="003F02D0"/>
    <w:rsid w:val="003F0A03"/>
    <w:rsid w:val="003F5820"/>
    <w:rsid w:val="003F6308"/>
    <w:rsid w:val="003F67AE"/>
    <w:rsid w:val="003F7079"/>
    <w:rsid w:val="003F77B4"/>
    <w:rsid w:val="003F79BC"/>
    <w:rsid w:val="003F7FD9"/>
    <w:rsid w:val="00400104"/>
    <w:rsid w:val="0040018C"/>
    <w:rsid w:val="00400626"/>
    <w:rsid w:val="00401253"/>
    <w:rsid w:val="0040281D"/>
    <w:rsid w:val="00404A39"/>
    <w:rsid w:val="0040518D"/>
    <w:rsid w:val="00405356"/>
    <w:rsid w:val="0040579B"/>
    <w:rsid w:val="004078E0"/>
    <w:rsid w:val="00411516"/>
    <w:rsid w:val="004121D9"/>
    <w:rsid w:val="0041244B"/>
    <w:rsid w:val="00412EA7"/>
    <w:rsid w:val="00415705"/>
    <w:rsid w:val="00420831"/>
    <w:rsid w:val="00420DA9"/>
    <w:rsid w:val="00423477"/>
    <w:rsid w:val="00423FAD"/>
    <w:rsid w:val="004242F8"/>
    <w:rsid w:val="004244C1"/>
    <w:rsid w:val="00425D57"/>
    <w:rsid w:val="00426C8D"/>
    <w:rsid w:val="00431042"/>
    <w:rsid w:val="00432400"/>
    <w:rsid w:val="004327BF"/>
    <w:rsid w:val="00433392"/>
    <w:rsid w:val="00433975"/>
    <w:rsid w:val="00435560"/>
    <w:rsid w:val="0043577E"/>
    <w:rsid w:val="004405BF"/>
    <w:rsid w:val="00441BD8"/>
    <w:rsid w:val="004420DD"/>
    <w:rsid w:val="0044233D"/>
    <w:rsid w:val="004433D2"/>
    <w:rsid w:val="00443EF3"/>
    <w:rsid w:val="00445170"/>
    <w:rsid w:val="00446B79"/>
    <w:rsid w:val="004475AB"/>
    <w:rsid w:val="00447633"/>
    <w:rsid w:val="0044779D"/>
    <w:rsid w:val="0044783E"/>
    <w:rsid w:val="0044798D"/>
    <w:rsid w:val="00450569"/>
    <w:rsid w:val="004514C5"/>
    <w:rsid w:val="00451BD6"/>
    <w:rsid w:val="00451FA3"/>
    <w:rsid w:val="00453873"/>
    <w:rsid w:val="004550C6"/>
    <w:rsid w:val="004551CF"/>
    <w:rsid w:val="0045625B"/>
    <w:rsid w:val="00456400"/>
    <w:rsid w:val="004565E6"/>
    <w:rsid w:val="004568F1"/>
    <w:rsid w:val="00457C62"/>
    <w:rsid w:val="00461080"/>
    <w:rsid w:val="004631A2"/>
    <w:rsid w:val="00464350"/>
    <w:rsid w:val="004659ED"/>
    <w:rsid w:val="004661ED"/>
    <w:rsid w:val="00466D35"/>
    <w:rsid w:val="00467A1D"/>
    <w:rsid w:val="004719ED"/>
    <w:rsid w:val="00473D63"/>
    <w:rsid w:val="004749FB"/>
    <w:rsid w:val="00476021"/>
    <w:rsid w:val="00481D38"/>
    <w:rsid w:val="0048381D"/>
    <w:rsid w:val="004854D8"/>
    <w:rsid w:val="00485C3D"/>
    <w:rsid w:val="004860E1"/>
    <w:rsid w:val="004869C5"/>
    <w:rsid w:val="00486B7B"/>
    <w:rsid w:val="004878A4"/>
    <w:rsid w:val="0049026B"/>
    <w:rsid w:val="004909C7"/>
    <w:rsid w:val="0049112F"/>
    <w:rsid w:val="004920BA"/>
    <w:rsid w:val="004A10DC"/>
    <w:rsid w:val="004A2CF2"/>
    <w:rsid w:val="004A31DF"/>
    <w:rsid w:val="004A410A"/>
    <w:rsid w:val="004A5925"/>
    <w:rsid w:val="004B0E69"/>
    <w:rsid w:val="004B2E9F"/>
    <w:rsid w:val="004B3B4A"/>
    <w:rsid w:val="004B3DF4"/>
    <w:rsid w:val="004B42BA"/>
    <w:rsid w:val="004B5DC0"/>
    <w:rsid w:val="004B6C7C"/>
    <w:rsid w:val="004B780F"/>
    <w:rsid w:val="004B7F5D"/>
    <w:rsid w:val="004C01F1"/>
    <w:rsid w:val="004C0BB0"/>
    <w:rsid w:val="004C26C2"/>
    <w:rsid w:val="004C3812"/>
    <w:rsid w:val="004C64C3"/>
    <w:rsid w:val="004C75E6"/>
    <w:rsid w:val="004D06FC"/>
    <w:rsid w:val="004D0703"/>
    <w:rsid w:val="004D183C"/>
    <w:rsid w:val="004D25BD"/>
    <w:rsid w:val="004D2C22"/>
    <w:rsid w:val="004D2E80"/>
    <w:rsid w:val="004D4906"/>
    <w:rsid w:val="004D4D27"/>
    <w:rsid w:val="004D5B3C"/>
    <w:rsid w:val="004D6192"/>
    <w:rsid w:val="004D6207"/>
    <w:rsid w:val="004E0B0A"/>
    <w:rsid w:val="004E1CD0"/>
    <w:rsid w:val="004E2E30"/>
    <w:rsid w:val="004E363D"/>
    <w:rsid w:val="004E39B5"/>
    <w:rsid w:val="004E536C"/>
    <w:rsid w:val="004E5A4F"/>
    <w:rsid w:val="004E5F06"/>
    <w:rsid w:val="004F0AB2"/>
    <w:rsid w:val="004F0E2C"/>
    <w:rsid w:val="004F152F"/>
    <w:rsid w:val="004F18E3"/>
    <w:rsid w:val="004F19FC"/>
    <w:rsid w:val="004F240A"/>
    <w:rsid w:val="004F4720"/>
    <w:rsid w:val="004F4AEC"/>
    <w:rsid w:val="004F4B2A"/>
    <w:rsid w:val="004F527F"/>
    <w:rsid w:val="004F57C7"/>
    <w:rsid w:val="004F6FB9"/>
    <w:rsid w:val="004F79D9"/>
    <w:rsid w:val="004F7D01"/>
    <w:rsid w:val="0050182B"/>
    <w:rsid w:val="00502648"/>
    <w:rsid w:val="00502C6F"/>
    <w:rsid w:val="005049DA"/>
    <w:rsid w:val="005051F8"/>
    <w:rsid w:val="00505A56"/>
    <w:rsid w:val="00505CC0"/>
    <w:rsid w:val="00511CCA"/>
    <w:rsid w:val="00512133"/>
    <w:rsid w:val="00514022"/>
    <w:rsid w:val="00514188"/>
    <w:rsid w:val="00514215"/>
    <w:rsid w:val="005162A4"/>
    <w:rsid w:val="00516DA6"/>
    <w:rsid w:val="0051797F"/>
    <w:rsid w:val="00520831"/>
    <w:rsid w:val="00520ADE"/>
    <w:rsid w:val="00521165"/>
    <w:rsid w:val="0052201A"/>
    <w:rsid w:val="005220A3"/>
    <w:rsid w:val="00523BE5"/>
    <w:rsid w:val="005259FC"/>
    <w:rsid w:val="00527F1A"/>
    <w:rsid w:val="0053072F"/>
    <w:rsid w:val="00532AC7"/>
    <w:rsid w:val="00533F15"/>
    <w:rsid w:val="0053529C"/>
    <w:rsid w:val="00536886"/>
    <w:rsid w:val="00536CCC"/>
    <w:rsid w:val="005404EB"/>
    <w:rsid w:val="00540885"/>
    <w:rsid w:val="00541DF9"/>
    <w:rsid w:val="00541F3A"/>
    <w:rsid w:val="00543025"/>
    <w:rsid w:val="00543121"/>
    <w:rsid w:val="005458E9"/>
    <w:rsid w:val="00546078"/>
    <w:rsid w:val="00546496"/>
    <w:rsid w:val="00546F1A"/>
    <w:rsid w:val="00547504"/>
    <w:rsid w:val="00551CEC"/>
    <w:rsid w:val="00552864"/>
    <w:rsid w:val="0055385B"/>
    <w:rsid w:val="005549A4"/>
    <w:rsid w:val="00555237"/>
    <w:rsid w:val="005563B4"/>
    <w:rsid w:val="0055687B"/>
    <w:rsid w:val="00557103"/>
    <w:rsid w:val="005577E0"/>
    <w:rsid w:val="0056154E"/>
    <w:rsid w:val="005630F1"/>
    <w:rsid w:val="005632AB"/>
    <w:rsid w:val="005637BA"/>
    <w:rsid w:val="00564269"/>
    <w:rsid w:val="0056426C"/>
    <w:rsid w:val="00566962"/>
    <w:rsid w:val="00566B11"/>
    <w:rsid w:val="00567E31"/>
    <w:rsid w:val="005701BA"/>
    <w:rsid w:val="0057051B"/>
    <w:rsid w:val="005720CC"/>
    <w:rsid w:val="00573037"/>
    <w:rsid w:val="005733FF"/>
    <w:rsid w:val="00575BC3"/>
    <w:rsid w:val="00576F69"/>
    <w:rsid w:val="00577188"/>
    <w:rsid w:val="0057732D"/>
    <w:rsid w:val="00581CDE"/>
    <w:rsid w:val="00582043"/>
    <w:rsid w:val="0058448F"/>
    <w:rsid w:val="005855B7"/>
    <w:rsid w:val="005867DC"/>
    <w:rsid w:val="0059126E"/>
    <w:rsid w:val="00591A1D"/>
    <w:rsid w:val="00591BE2"/>
    <w:rsid w:val="0059232D"/>
    <w:rsid w:val="00592364"/>
    <w:rsid w:val="0059418D"/>
    <w:rsid w:val="005962FE"/>
    <w:rsid w:val="005A0EB6"/>
    <w:rsid w:val="005A0FDB"/>
    <w:rsid w:val="005A1011"/>
    <w:rsid w:val="005A1C91"/>
    <w:rsid w:val="005A1D2A"/>
    <w:rsid w:val="005A3648"/>
    <w:rsid w:val="005A379C"/>
    <w:rsid w:val="005A3AAE"/>
    <w:rsid w:val="005A3F42"/>
    <w:rsid w:val="005A5131"/>
    <w:rsid w:val="005A791F"/>
    <w:rsid w:val="005A7E49"/>
    <w:rsid w:val="005B207B"/>
    <w:rsid w:val="005B51A1"/>
    <w:rsid w:val="005B6CEA"/>
    <w:rsid w:val="005B7893"/>
    <w:rsid w:val="005C0807"/>
    <w:rsid w:val="005C0A41"/>
    <w:rsid w:val="005C0E9D"/>
    <w:rsid w:val="005C14D3"/>
    <w:rsid w:val="005C4EF4"/>
    <w:rsid w:val="005C5A54"/>
    <w:rsid w:val="005D0E8D"/>
    <w:rsid w:val="005D199E"/>
    <w:rsid w:val="005D2598"/>
    <w:rsid w:val="005D31D2"/>
    <w:rsid w:val="005D456D"/>
    <w:rsid w:val="005D69A0"/>
    <w:rsid w:val="005D6A2F"/>
    <w:rsid w:val="005D7153"/>
    <w:rsid w:val="005E0523"/>
    <w:rsid w:val="005E15EA"/>
    <w:rsid w:val="005E19B7"/>
    <w:rsid w:val="005E266F"/>
    <w:rsid w:val="005E2FF0"/>
    <w:rsid w:val="005E3AE7"/>
    <w:rsid w:val="005E43BD"/>
    <w:rsid w:val="005E7DDF"/>
    <w:rsid w:val="005F2D9A"/>
    <w:rsid w:val="005F324B"/>
    <w:rsid w:val="005F4383"/>
    <w:rsid w:val="005F6208"/>
    <w:rsid w:val="005F71D0"/>
    <w:rsid w:val="00604F40"/>
    <w:rsid w:val="006066C9"/>
    <w:rsid w:val="006069A5"/>
    <w:rsid w:val="006075C7"/>
    <w:rsid w:val="006104D3"/>
    <w:rsid w:val="006140C6"/>
    <w:rsid w:val="00615E92"/>
    <w:rsid w:val="00616B36"/>
    <w:rsid w:val="00616B40"/>
    <w:rsid w:val="00617AC3"/>
    <w:rsid w:val="0062036D"/>
    <w:rsid w:val="00621829"/>
    <w:rsid w:val="00621BA7"/>
    <w:rsid w:val="00621DAE"/>
    <w:rsid w:val="0062201F"/>
    <w:rsid w:val="0062273B"/>
    <w:rsid w:val="00627A53"/>
    <w:rsid w:val="00632F01"/>
    <w:rsid w:val="00632FDC"/>
    <w:rsid w:val="00633757"/>
    <w:rsid w:val="006347FE"/>
    <w:rsid w:val="00635C29"/>
    <w:rsid w:val="00635C4F"/>
    <w:rsid w:val="00636083"/>
    <w:rsid w:val="006368AE"/>
    <w:rsid w:val="00640C9E"/>
    <w:rsid w:val="0064185C"/>
    <w:rsid w:val="0064237B"/>
    <w:rsid w:val="00642BFB"/>
    <w:rsid w:val="0064312F"/>
    <w:rsid w:val="006435C6"/>
    <w:rsid w:val="0064495C"/>
    <w:rsid w:val="006449A9"/>
    <w:rsid w:val="00650090"/>
    <w:rsid w:val="00650598"/>
    <w:rsid w:val="0065178D"/>
    <w:rsid w:val="00652034"/>
    <w:rsid w:val="006525F5"/>
    <w:rsid w:val="006529F6"/>
    <w:rsid w:val="00652E5E"/>
    <w:rsid w:val="006533A1"/>
    <w:rsid w:val="006533EC"/>
    <w:rsid w:val="0065360C"/>
    <w:rsid w:val="0065369F"/>
    <w:rsid w:val="00654567"/>
    <w:rsid w:val="0065516F"/>
    <w:rsid w:val="006557D1"/>
    <w:rsid w:val="00656871"/>
    <w:rsid w:val="006575AE"/>
    <w:rsid w:val="00660A5B"/>
    <w:rsid w:val="00665E5C"/>
    <w:rsid w:val="006719FC"/>
    <w:rsid w:val="00672CF9"/>
    <w:rsid w:val="00672FDB"/>
    <w:rsid w:val="0067336E"/>
    <w:rsid w:val="006737B9"/>
    <w:rsid w:val="00674C7D"/>
    <w:rsid w:val="00674CA0"/>
    <w:rsid w:val="006750B1"/>
    <w:rsid w:val="00680E4E"/>
    <w:rsid w:val="00681124"/>
    <w:rsid w:val="00683F89"/>
    <w:rsid w:val="00684953"/>
    <w:rsid w:val="00687440"/>
    <w:rsid w:val="0069188F"/>
    <w:rsid w:val="00691B68"/>
    <w:rsid w:val="0069255A"/>
    <w:rsid w:val="00692F19"/>
    <w:rsid w:val="006935B2"/>
    <w:rsid w:val="00695D03"/>
    <w:rsid w:val="0069672E"/>
    <w:rsid w:val="006973A3"/>
    <w:rsid w:val="006A008B"/>
    <w:rsid w:val="006A0436"/>
    <w:rsid w:val="006A0716"/>
    <w:rsid w:val="006A4256"/>
    <w:rsid w:val="006A6F34"/>
    <w:rsid w:val="006A7981"/>
    <w:rsid w:val="006B0ADF"/>
    <w:rsid w:val="006B1F15"/>
    <w:rsid w:val="006B277A"/>
    <w:rsid w:val="006B4128"/>
    <w:rsid w:val="006B45E9"/>
    <w:rsid w:val="006B4B35"/>
    <w:rsid w:val="006B5C70"/>
    <w:rsid w:val="006B605E"/>
    <w:rsid w:val="006C03B8"/>
    <w:rsid w:val="006C05E2"/>
    <w:rsid w:val="006C30FD"/>
    <w:rsid w:val="006C32B4"/>
    <w:rsid w:val="006C4C8F"/>
    <w:rsid w:val="006C4CFC"/>
    <w:rsid w:val="006C5043"/>
    <w:rsid w:val="006C53D5"/>
    <w:rsid w:val="006C58A2"/>
    <w:rsid w:val="006C7776"/>
    <w:rsid w:val="006D086A"/>
    <w:rsid w:val="006D138B"/>
    <w:rsid w:val="006D172D"/>
    <w:rsid w:val="006D2777"/>
    <w:rsid w:val="006D5E4A"/>
    <w:rsid w:val="006D6AC9"/>
    <w:rsid w:val="006D6AD2"/>
    <w:rsid w:val="006D79AF"/>
    <w:rsid w:val="006D7B24"/>
    <w:rsid w:val="006E186F"/>
    <w:rsid w:val="006E1AD4"/>
    <w:rsid w:val="006E1E57"/>
    <w:rsid w:val="006E234A"/>
    <w:rsid w:val="006E2459"/>
    <w:rsid w:val="006E33D6"/>
    <w:rsid w:val="006E3C26"/>
    <w:rsid w:val="006E4098"/>
    <w:rsid w:val="006E4ED3"/>
    <w:rsid w:val="006E4F44"/>
    <w:rsid w:val="006E5D4E"/>
    <w:rsid w:val="006E74A4"/>
    <w:rsid w:val="006E7C22"/>
    <w:rsid w:val="006F0D02"/>
    <w:rsid w:val="006F46EF"/>
    <w:rsid w:val="006F4B41"/>
    <w:rsid w:val="006F5C28"/>
    <w:rsid w:val="006F6459"/>
    <w:rsid w:val="006F6CB7"/>
    <w:rsid w:val="006F6E6F"/>
    <w:rsid w:val="006F7165"/>
    <w:rsid w:val="006F7E03"/>
    <w:rsid w:val="007018DD"/>
    <w:rsid w:val="007053A3"/>
    <w:rsid w:val="007130EE"/>
    <w:rsid w:val="007146D1"/>
    <w:rsid w:val="00715EAE"/>
    <w:rsid w:val="00715F94"/>
    <w:rsid w:val="00720053"/>
    <w:rsid w:val="00720796"/>
    <w:rsid w:val="007207B4"/>
    <w:rsid w:val="00720B75"/>
    <w:rsid w:val="007216EE"/>
    <w:rsid w:val="007217CE"/>
    <w:rsid w:val="007230F4"/>
    <w:rsid w:val="00726109"/>
    <w:rsid w:val="00727408"/>
    <w:rsid w:val="00727A24"/>
    <w:rsid w:val="00727AC4"/>
    <w:rsid w:val="00730061"/>
    <w:rsid w:val="00730BB4"/>
    <w:rsid w:val="00731558"/>
    <w:rsid w:val="00731587"/>
    <w:rsid w:val="00732A16"/>
    <w:rsid w:val="00732E9E"/>
    <w:rsid w:val="007330EA"/>
    <w:rsid w:val="0073470F"/>
    <w:rsid w:val="00734826"/>
    <w:rsid w:val="00734A93"/>
    <w:rsid w:val="00735176"/>
    <w:rsid w:val="00735E83"/>
    <w:rsid w:val="00742393"/>
    <w:rsid w:val="007433EC"/>
    <w:rsid w:val="0074492C"/>
    <w:rsid w:val="007471FA"/>
    <w:rsid w:val="00747208"/>
    <w:rsid w:val="00747EF8"/>
    <w:rsid w:val="00750268"/>
    <w:rsid w:val="00751ABA"/>
    <w:rsid w:val="00751CDE"/>
    <w:rsid w:val="0075246A"/>
    <w:rsid w:val="00753D5A"/>
    <w:rsid w:val="007542DB"/>
    <w:rsid w:val="00754A64"/>
    <w:rsid w:val="007554EE"/>
    <w:rsid w:val="00760716"/>
    <w:rsid w:val="00760F8B"/>
    <w:rsid w:val="00762263"/>
    <w:rsid w:val="00764E32"/>
    <w:rsid w:val="00764E47"/>
    <w:rsid w:val="007663D0"/>
    <w:rsid w:val="00767174"/>
    <w:rsid w:val="0076734D"/>
    <w:rsid w:val="00772ABE"/>
    <w:rsid w:val="007731E8"/>
    <w:rsid w:val="007736AD"/>
    <w:rsid w:val="00774C25"/>
    <w:rsid w:val="00775841"/>
    <w:rsid w:val="007801EA"/>
    <w:rsid w:val="007816C6"/>
    <w:rsid w:val="007820BF"/>
    <w:rsid w:val="00782E02"/>
    <w:rsid w:val="007838CF"/>
    <w:rsid w:val="0078575A"/>
    <w:rsid w:val="00786315"/>
    <w:rsid w:val="00786457"/>
    <w:rsid w:val="00786556"/>
    <w:rsid w:val="0078674B"/>
    <w:rsid w:val="007867E3"/>
    <w:rsid w:val="00790B42"/>
    <w:rsid w:val="00790CCC"/>
    <w:rsid w:val="00791E46"/>
    <w:rsid w:val="00797B27"/>
    <w:rsid w:val="007A1625"/>
    <w:rsid w:val="007A2233"/>
    <w:rsid w:val="007A45DB"/>
    <w:rsid w:val="007A4F3D"/>
    <w:rsid w:val="007A5383"/>
    <w:rsid w:val="007A7072"/>
    <w:rsid w:val="007A777C"/>
    <w:rsid w:val="007A7A2B"/>
    <w:rsid w:val="007B0591"/>
    <w:rsid w:val="007B0D8A"/>
    <w:rsid w:val="007B15BA"/>
    <w:rsid w:val="007B1932"/>
    <w:rsid w:val="007B336D"/>
    <w:rsid w:val="007B5971"/>
    <w:rsid w:val="007B5F34"/>
    <w:rsid w:val="007B6F9F"/>
    <w:rsid w:val="007B7F01"/>
    <w:rsid w:val="007C0C78"/>
    <w:rsid w:val="007C0E43"/>
    <w:rsid w:val="007C1823"/>
    <w:rsid w:val="007C1E1A"/>
    <w:rsid w:val="007C328C"/>
    <w:rsid w:val="007C3F8A"/>
    <w:rsid w:val="007C4F34"/>
    <w:rsid w:val="007C5884"/>
    <w:rsid w:val="007C781A"/>
    <w:rsid w:val="007D1770"/>
    <w:rsid w:val="007D30D9"/>
    <w:rsid w:val="007D33A7"/>
    <w:rsid w:val="007D55BB"/>
    <w:rsid w:val="007D5B0C"/>
    <w:rsid w:val="007D5FB7"/>
    <w:rsid w:val="007E0113"/>
    <w:rsid w:val="007E05E6"/>
    <w:rsid w:val="007E0B5C"/>
    <w:rsid w:val="007E3AFC"/>
    <w:rsid w:val="007E4382"/>
    <w:rsid w:val="007E50F9"/>
    <w:rsid w:val="007E555C"/>
    <w:rsid w:val="007E6006"/>
    <w:rsid w:val="007E6F4B"/>
    <w:rsid w:val="007E74DD"/>
    <w:rsid w:val="007E75D7"/>
    <w:rsid w:val="007F1DC8"/>
    <w:rsid w:val="007F1DF1"/>
    <w:rsid w:val="007F334F"/>
    <w:rsid w:val="007F3E10"/>
    <w:rsid w:val="007F69EC"/>
    <w:rsid w:val="007F7316"/>
    <w:rsid w:val="007F7A6C"/>
    <w:rsid w:val="008045E5"/>
    <w:rsid w:val="00804D02"/>
    <w:rsid w:val="00806A9E"/>
    <w:rsid w:val="008070BA"/>
    <w:rsid w:val="008070C7"/>
    <w:rsid w:val="00807842"/>
    <w:rsid w:val="00811112"/>
    <w:rsid w:val="008117B1"/>
    <w:rsid w:val="008134E6"/>
    <w:rsid w:val="008137ED"/>
    <w:rsid w:val="0081414E"/>
    <w:rsid w:val="00814682"/>
    <w:rsid w:val="008159E9"/>
    <w:rsid w:val="00816079"/>
    <w:rsid w:val="008170B2"/>
    <w:rsid w:val="008208F7"/>
    <w:rsid w:val="00820F83"/>
    <w:rsid w:val="00821170"/>
    <w:rsid w:val="00821720"/>
    <w:rsid w:val="00821990"/>
    <w:rsid w:val="00822131"/>
    <w:rsid w:val="00822583"/>
    <w:rsid w:val="0082390F"/>
    <w:rsid w:val="00823DF5"/>
    <w:rsid w:val="008266DE"/>
    <w:rsid w:val="00827B43"/>
    <w:rsid w:val="00827E8B"/>
    <w:rsid w:val="0083103C"/>
    <w:rsid w:val="00831A21"/>
    <w:rsid w:val="00831C18"/>
    <w:rsid w:val="00832204"/>
    <w:rsid w:val="00833D0A"/>
    <w:rsid w:val="00833F07"/>
    <w:rsid w:val="008353F6"/>
    <w:rsid w:val="008356A1"/>
    <w:rsid w:val="0083601D"/>
    <w:rsid w:val="00836579"/>
    <w:rsid w:val="00837643"/>
    <w:rsid w:val="008402A6"/>
    <w:rsid w:val="008413DE"/>
    <w:rsid w:val="00843623"/>
    <w:rsid w:val="00844390"/>
    <w:rsid w:val="00845CCB"/>
    <w:rsid w:val="008460E2"/>
    <w:rsid w:val="008465C5"/>
    <w:rsid w:val="00846E18"/>
    <w:rsid w:val="00850404"/>
    <w:rsid w:val="00850BC4"/>
    <w:rsid w:val="00850CA9"/>
    <w:rsid w:val="00851091"/>
    <w:rsid w:val="00851701"/>
    <w:rsid w:val="00851E9A"/>
    <w:rsid w:val="00853E29"/>
    <w:rsid w:val="00854530"/>
    <w:rsid w:val="00855813"/>
    <w:rsid w:val="00856B4B"/>
    <w:rsid w:val="0085751D"/>
    <w:rsid w:val="00857E90"/>
    <w:rsid w:val="00860867"/>
    <w:rsid w:val="00860B40"/>
    <w:rsid w:val="0086430E"/>
    <w:rsid w:val="0086473D"/>
    <w:rsid w:val="00867D72"/>
    <w:rsid w:val="00867E8A"/>
    <w:rsid w:val="00870118"/>
    <w:rsid w:val="0087035A"/>
    <w:rsid w:val="00873A19"/>
    <w:rsid w:val="0087477B"/>
    <w:rsid w:val="00874C59"/>
    <w:rsid w:val="00875428"/>
    <w:rsid w:val="00875669"/>
    <w:rsid w:val="008764B7"/>
    <w:rsid w:val="008772F7"/>
    <w:rsid w:val="00877344"/>
    <w:rsid w:val="0088072B"/>
    <w:rsid w:val="00881DCB"/>
    <w:rsid w:val="00882E4D"/>
    <w:rsid w:val="00884590"/>
    <w:rsid w:val="00884B10"/>
    <w:rsid w:val="00884E49"/>
    <w:rsid w:val="00887543"/>
    <w:rsid w:val="008876B7"/>
    <w:rsid w:val="008912D2"/>
    <w:rsid w:val="00891CA9"/>
    <w:rsid w:val="008924C7"/>
    <w:rsid w:val="00892C1A"/>
    <w:rsid w:val="00894F60"/>
    <w:rsid w:val="0089562A"/>
    <w:rsid w:val="008976AC"/>
    <w:rsid w:val="008A1940"/>
    <w:rsid w:val="008A256B"/>
    <w:rsid w:val="008A3201"/>
    <w:rsid w:val="008A38EE"/>
    <w:rsid w:val="008A4425"/>
    <w:rsid w:val="008A4752"/>
    <w:rsid w:val="008A605A"/>
    <w:rsid w:val="008A76D2"/>
    <w:rsid w:val="008B0A25"/>
    <w:rsid w:val="008B13D7"/>
    <w:rsid w:val="008B182C"/>
    <w:rsid w:val="008B26C0"/>
    <w:rsid w:val="008B3A52"/>
    <w:rsid w:val="008C124D"/>
    <w:rsid w:val="008C1976"/>
    <w:rsid w:val="008C32F5"/>
    <w:rsid w:val="008C3A9F"/>
    <w:rsid w:val="008C632A"/>
    <w:rsid w:val="008C64B2"/>
    <w:rsid w:val="008D12DB"/>
    <w:rsid w:val="008D1E2B"/>
    <w:rsid w:val="008D29C8"/>
    <w:rsid w:val="008D3722"/>
    <w:rsid w:val="008D381B"/>
    <w:rsid w:val="008D3891"/>
    <w:rsid w:val="008D66C2"/>
    <w:rsid w:val="008D6777"/>
    <w:rsid w:val="008D7356"/>
    <w:rsid w:val="008E0C15"/>
    <w:rsid w:val="008E0DB7"/>
    <w:rsid w:val="008E0EF2"/>
    <w:rsid w:val="008E1FB2"/>
    <w:rsid w:val="008E398E"/>
    <w:rsid w:val="008E3A78"/>
    <w:rsid w:val="008E43FE"/>
    <w:rsid w:val="008E4D2E"/>
    <w:rsid w:val="008E4F52"/>
    <w:rsid w:val="008E61C4"/>
    <w:rsid w:val="008E6C25"/>
    <w:rsid w:val="008E771C"/>
    <w:rsid w:val="008E7D04"/>
    <w:rsid w:val="008F07EB"/>
    <w:rsid w:val="008F17B9"/>
    <w:rsid w:val="008F183F"/>
    <w:rsid w:val="008F1C36"/>
    <w:rsid w:val="008F34D9"/>
    <w:rsid w:val="008F3A9D"/>
    <w:rsid w:val="008F3B1E"/>
    <w:rsid w:val="008F41B1"/>
    <w:rsid w:val="008F4430"/>
    <w:rsid w:val="008F64C9"/>
    <w:rsid w:val="008F762C"/>
    <w:rsid w:val="00900000"/>
    <w:rsid w:val="00900704"/>
    <w:rsid w:val="00900810"/>
    <w:rsid w:val="00900CD4"/>
    <w:rsid w:val="00901157"/>
    <w:rsid w:val="00901B67"/>
    <w:rsid w:val="0090222F"/>
    <w:rsid w:val="00903BDD"/>
    <w:rsid w:val="00904D63"/>
    <w:rsid w:val="009063D6"/>
    <w:rsid w:val="0091048F"/>
    <w:rsid w:val="00911728"/>
    <w:rsid w:val="00911878"/>
    <w:rsid w:val="0091249D"/>
    <w:rsid w:val="00912779"/>
    <w:rsid w:val="00913BAC"/>
    <w:rsid w:val="00915B90"/>
    <w:rsid w:val="009165FC"/>
    <w:rsid w:val="00916991"/>
    <w:rsid w:val="00916F6F"/>
    <w:rsid w:val="0092075E"/>
    <w:rsid w:val="009216A0"/>
    <w:rsid w:val="00922D71"/>
    <w:rsid w:val="009239B9"/>
    <w:rsid w:val="0092516C"/>
    <w:rsid w:val="00927116"/>
    <w:rsid w:val="009271FA"/>
    <w:rsid w:val="009300A1"/>
    <w:rsid w:val="00930709"/>
    <w:rsid w:val="009325E8"/>
    <w:rsid w:val="00933CB2"/>
    <w:rsid w:val="00934F97"/>
    <w:rsid w:val="00935D84"/>
    <w:rsid w:val="00935FD8"/>
    <w:rsid w:val="00940A11"/>
    <w:rsid w:val="00940C47"/>
    <w:rsid w:val="00943763"/>
    <w:rsid w:val="00944BC7"/>
    <w:rsid w:val="00945595"/>
    <w:rsid w:val="00945806"/>
    <w:rsid w:val="00945D1A"/>
    <w:rsid w:val="00946757"/>
    <w:rsid w:val="00946A8C"/>
    <w:rsid w:val="0094731F"/>
    <w:rsid w:val="00947FFA"/>
    <w:rsid w:val="00951A9F"/>
    <w:rsid w:val="00951F71"/>
    <w:rsid w:val="00952D7F"/>
    <w:rsid w:val="00952F0D"/>
    <w:rsid w:val="00953F73"/>
    <w:rsid w:val="009542CA"/>
    <w:rsid w:val="009548AA"/>
    <w:rsid w:val="009569FE"/>
    <w:rsid w:val="00956D48"/>
    <w:rsid w:val="0096196A"/>
    <w:rsid w:val="00961A1E"/>
    <w:rsid w:val="0096217E"/>
    <w:rsid w:val="00962AFE"/>
    <w:rsid w:val="00965F0B"/>
    <w:rsid w:val="0096642B"/>
    <w:rsid w:val="00973002"/>
    <w:rsid w:val="009731D8"/>
    <w:rsid w:val="009735B9"/>
    <w:rsid w:val="009747A0"/>
    <w:rsid w:val="00974DBB"/>
    <w:rsid w:val="00975EB4"/>
    <w:rsid w:val="0097699A"/>
    <w:rsid w:val="0097739C"/>
    <w:rsid w:val="00980EA2"/>
    <w:rsid w:val="00981658"/>
    <w:rsid w:val="00981F4E"/>
    <w:rsid w:val="009835B1"/>
    <w:rsid w:val="00983AC7"/>
    <w:rsid w:val="009878B5"/>
    <w:rsid w:val="009911BF"/>
    <w:rsid w:val="009911D7"/>
    <w:rsid w:val="00991430"/>
    <w:rsid w:val="00991BFB"/>
    <w:rsid w:val="009931FF"/>
    <w:rsid w:val="00994944"/>
    <w:rsid w:val="0099563E"/>
    <w:rsid w:val="009957F9"/>
    <w:rsid w:val="00996366"/>
    <w:rsid w:val="00997370"/>
    <w:rsid w:val="009A03BE"/>
    <w:rsid w:val="009A09F2"/>
    <w:rsid w:val="009A2B1F"/>
    <w:rsid w:val="009A3565"/>
    <w:rsid w:val="009A35DD"/>
    <w:rsid w:val="009A3BDE"/>
    <w:rsid w:val="009A426C"/>
    <w:rsid w:val="009A4CE7"/>
    <w:rsid w:val="009A50DB"/>
    <w:rsid w:val="009A74D5"/>
    <w:rsid w:val="009B04F9"/>
    <w:rsid w:val="009B0DA0"/>
    <w:rsid w:val="009B1F42"/>
    <w:rsid w:val="009B2EE7"/>
    <w:rsid w:val="009B4D6E"/>
    <w:rsid w:val="009B657A"/>
    <w:rsid w:val="009B671F"/>
    <w:rsid w:val="009B6DC9"/>
    <w:rsid w:val="009C0B27"/>
    <w:rsid w:val="009C144F"/>
    <w:rsid w:val="009C24AA"/>
    <w:rsid w:val="009C2B9B"/>
    <w:rsid w:val="009C34E5"/>
    <w:rsid w:val="009C36B8"/>
    <w:rsid w:val="009C4464"/>
    <w:rsid w:val="009C76A8"/>
    <w:rsid w:val="009D17EE"/>
    <w:rsid w:val="009D33A6"/>
    <w:rsid w:val="009D59F2"/>
    <w:rsid w:val="009D602A"/>
    <w:rsid w:val="009D7484"/>
    <w:rsid w:val="009E1FEB"/>
    <w:rsid w:val="009E5219"/>
    <w:rsid w:val="009E58C2"/>
    <w:rsid w:val="009E6CF8"/>
    <w:rsid w:val="009F1316"/>
    <w:rsid w:val="009F13E0"/>
    <w:rsid w:val="009F1672"/>
    <w:rsid w:val="009F1F6C"/>
    <w:rsid w:val="009F5AFC"/>
    <w:rsid w:val="00A003B3"/>
    <w:rsid w:val="00A02073"/>
    <w:rsid w:val="00A03FD4"/>
    <w:rsid w:val="00A0471D"/>
    <w:rsid w:val="00A056A7"/>
    <w:rsid w:val="00A057D8"/>
    <w:rsid w:val="00A05E10"/>
    <w:rsid w:val="00A065DB"/>
    <w:rsid w:val="00A1012C"/>
    <w:rsid w:val="00A101D1"/>
    <w:rsid w:val="00A1227F"/>
    <w:rsid w:val="00A131D5"/>
    <w:rsid w:val="00A134FE"/>
    <w:rsid w:val="00A14372"/>
    <w:rsid w:val="00A154D1"/>
    <w:rsid w:val="00A1756C"/>
    <w:rsid w:val="00A17817"/>
    <w:rsid w:val="00A17D14"/>
    <w:rsid w:val="00A17D8F"/>
    <w:rsid w:val="00A213B1"/>
    <w:rsid w:val="00A21CA3"/>
    <w:rsid w:val="00A2318D"/>
    <w:rsid w:val="00A233A9"/>
    <w:rsid w:val="00A25DC7"/>
    <w:rsid w:val="00A3053F"/>
    <w:rsid w:val="00A30DED"/>
    <w:rsid w:val="00A3152A"/>
    <w:rsid w:val="00A31F51"/>
    <w:rsid w:val="00A323F0"/>
    <w:rsid w:val="00A327BE"/>
    <w:rsid w:val="00A338EA"/>
    <w:rsid w:val="00A34272"/>
    <w:rsid w:val="00A34C84"/>
    <w:rsid w:val="00A36658"/>
    <w:rsid w:val="00A37188"/>
    <w:rsid w:val="00A40454"/>
    <w:rsid w:val="00A412B1"/>
    <w:rsid w:val="00A41F4C"/>
    <w:rsid w:val="00A42091"/>
    <w:rsid w:val="00A425AA"/>
    <w:rsid w:val="00A42701"/>
    <w:rsid w:val="00A42893"/>
    <w:rsid w:val="00A46056"/>
    <w:rsid w:val="00A46CDB"/>
    <w:rsid w:val="00A4750A"/>
    <w:rsid w:val="00A502EC"/>
    <w:rsid w:val="00A509F0"/>
    <w:rsid w:val="00A50D50"/>
    <w:rsid w:val="00A51357"/>
    <w:rsid w:val="00A52477"/>
    <w:rsid w:val="00A53550"/>
    <w:rsid w:val="00A5394C"/>
    <w:rsid w:val="00A54809"/>
    <w:rsid w:val="00A548F5"/>
    <w:rsid w:val="00A549BD"/>
    <w:rsid w:val="00A55E43"/>
    <w:rsid w:val="00A56843"/>
    <w:rsid w:val="00A57798"/>
    <w:rsid w:val="00A60119"/>
    <w:rsid w:val="00A6032F"/>
    <w:rsid w:val="00A60D6E"/>
    <w:rsid w:val="00A613ED"/>
    <w:rsid w:val="00A645F7"/>
    <w:rsid w:val="00A65215"/>
    <w:rsid w:val="00A6522A"/>
    <w:rsid w:val="00A65954"/>
    <w:rsid w:val="00A65FBA"/>
    <w:rsid w:val="00A67554"/>
    <w:rsid w:val="00A6768A"/>
    <w:rsid w:val="00A70B14"/>
    <w:rsid w:val="00A70FB2"/>
    <w:rsid w:val="00A71844"/>
    <w:rsid w:val="00A7184C"/>
    <w:rsid w:val="00A7219F"/>
    <w:rsid w:val="00A72403"/>
    <w:rsid w:val="00A72F94"/>
    <w:rsid w:val="00A73EA0"/>
    <w:rsid w:val="00A755ED"/>
    <w:rsid w:val="00A77500"/>
    <w:rsid w:val="00A8070B"/>
    <w:rsid w:val="00A80C07"/>
    <w:rsid w:val="00A8128C"/>
    <w:rsid w:val="00A83C80"/>
    <w:rsid w:val="00A83D9E"/>
    <w:rsid w:val="00A8455B"/>
    <w:rsid w:val="00A8564B"/>
    <w:rsid w:val="00A85EBF"/>
    <w:rsid w:val="00A8646C"/>
    <w:rsid w:val="00A865C2"/>
    <w:rsid w:val="00A87D5B"/>
    <w:rsid w:val="00A9071B"/>
    <w:rsid w:val="00A909BA"/>
    <w:rsid w:val="00A922E7"/>
    <w:rsid w:val="00A9315A"/>
    <w:rsid w:val="00A937C8"/>
    <w:rsid w:val="00A94858"/>
    <w:rsid w:val="00A94B6A"/>
    <w:rsid w:val="00A96A17"/>
    <w:rsid w:val="00AA0356"/>
    <w:rsid w:val="00AA253D"/>
    <w:rsid w:val="00AA4BF1"/>
    <w:rsid w:val="00AA5AB7"/>
    <w:rsid w:val="00AA6A33"/>
    <w:rsid w:val="00AB1041"/>
    <w:rsid w:val="00AB2102"/>
    <w:rsid w:val="00AB3B67"/>
    <w:rsid w:val="00AB592A"/>
    <w:rsid w:val="00AB6263"/>
    <w:rsid w:val="00AB6BED"/>
    <w:rsid w:val="00AB7D66"/>
    <w:rsid w:val="00AB7DCC"/>
    <w:rsid w:val="00AC0300"/>
    <w:rsid w:val="00AC44B4"/>
    <w:rsid w:val="00AC62FF"/>
    <w:rsid w:val="00AC698C"/>
    <w:rsid w:val="00AC7828"/>
    <w:rsid w:val="00AD1131"/>
    <w:rsid w:val="00AD1C51"/>
    <w:rsid w:val="00AD241E"/>
    <w:rsid w:val="00AD24EE"/>
    <w:rsid w:val="00AD28AB"/>
    <w:rsid w:val="00AD3617"/>
    <w:rsid w:val="00AD3B1B"/>
    <w:rsid w:val="00AD4932"/>
    <w:rsid w:val="00AD54C7"/>
    <w:rsid w:val="00AD5948"/>
    <w:rsid w:val="00AE0C9E"/>
    <w:rsid w:val="00AE11DE"/>
    <w:rsid w:val="00AE1EA8"/>
    <w:rsid w:val="00AE2FD7"/>
    <w:rsid w:val="00AE5775"/>
    <w:rsid w:val="00AF058A"/>
    <w:rsid w:val="00AF0AB7"/>
    <w:rsid w:val="00AF14D5"/>
    <w:rsid w:val="00AF1C7F"/>
    <w:rsid w:val="00AF2B0A"/>
    <w:rsid w:val="00AF2E20"/>
    <w:rsid w:val="00AF3574"/>
    <w:rsid w:val="00AF4FFF"/>
    <w:rsid w:val="00AF51B7"/>
    <w:rsid w:val="00AF5BF4"/>
    <w:rsid w:val="00AF73D2"/>
    <w:rsid w:val="00AF7868"/>
    <w:rsid w:val="00AF7A82"/>
    <w:rsid w:val="00AF7DA3"/>
    <w:rsid w:val="00B00A1E"/>
    <w:rsid w:val="00B01302"/>
    <w:rsid w:val="00B01363"/>
    <w:rsid w:val="00B01AF4"/>
    <w:rsid w:val="00B033D3"/>
    <w:rsid w:val="00B04823"/>
    <w:rsid w:val="00B04C62"/>
    <w:rsid w:val="00B06E99"/>
    <w:rsid w:val="00B07702"/>
    <w:rsid w:val="00B078AB"/>
    <w:rsid w:val="00B078F4"/>
    <w:rsid w:val="00B07F36"/>
    <w:rsid w:val="00B1296A"/>
    <w:rsid w:val="00B13600"/>
    <w:rsid w:val="00B13EA2"/>
    <w:rsid w:val="00B16278"/>
    <w:rsid w:val="00B1664E"/>
    <w:rsid w:val="00B16749"/>
    <w:rsid w:val="00B1745E"/>
    <w:rsid w:val="00B22E35"/>
    <w:rsid w:val="00B22F4B"/>
    <w:rsid w:val="00B239E3"/>
    <w:rsid w:val="00B24516"/>
    <w:rsid w:val="00B24C48"/>
    <w:rsid w:val="00B251D9"/>
    <w:rsid w:val="00B259B2"/>
    <w:rsid w:val="00B2652B"/>
    <w:rsid w:val="00B2726D"/>
    <w:rsid w:val="00B30849"/>
    <w:rsid w:val="00B30DD1"/>
    <w:rsid w:val="00B346E6"/>
    <w:rsid w:val="00B34D5D"/>
    <w:rsid w:val="00B35D15"/>
    <w:rsid w:val="00B36000"/>
    <w:rsid w:val="00B37D00"/>
    <w:rsid w:val="00B401B9"/>
    <w:rsid w:val="00B41FD3"/>
    <w:rsid w:val="00B43037"/>
    <w:rsid w:val="00B44931"/>
    <w:rsid w:val="00B46EF1"/>
    <w:rsid w:val="00B47F32"/>
    <w:rsid w:val="00B5117B"/>
    <w:rsid w:val="00B51D27"/>
    <w:rsid w:val="00B524D5"/>
    <w:rsid w:val="00B52839"/>
    <w:rsid w:val="00B52943"/>
    <w:rsid w:val="00B53BF3"/>
    <w:rsid w:val="00B54A23"/>
    <w:rsid w:val="00B54E88"/>
    <w:rsid w:val="00B560B1"/>
    <w:rsid w:val="00B5634F"/>
    <w:rsid w:val="00B578B8"/>
    <w:rsid w:val="00B603E3"/>
    <w:rsid w:val="00B61735"/>
    <w:rsid w:val="00B6454D"/>
    <w:rsid w:val="00B65290"/>
    <w:rsid w:val="00B653A2"/>
    <w:rsid w:val="00B6559A"/>
    <w:rsid w:val="00B6713C"/>
    <w:rsid w:val="00B70C29"/>
    <w:rsid w:val="00B71DB8"/>
    <w:rsid w:val="00B71EBE"/>
    <w:rsid w:val="00B72E66"/>
    <w:rsid w:val="00B73A5A"/>
    <w:rsid w:val="00B73CE4"/>
    <w:rsid w:val="00B73D8D"/>
    <w:rsid w:val="00B747EE"/>
    <w:rsid w:val="00B759EE"/>
    <w:rsid w:val="00B75A1C"/>
    <w:rsid w:val="00B76576"/>
    <w:rsid w:val="00B77DF1"/>
    <w:rsid w:val="00B801FA"/>
    <w:rsid w:val="00B80749"/>
    <w:rsid w:val="00B80BA4"/>
    <w:rsid w:val="00B80F05"/>
    <w:rsid w:val="00B8325D"/>
    <w:rsid w:val="00B83501"/>
    <w:rsid w:val="00B871EA"/>
    <w:rsid w:val="00B90102"/>
    <w:rsid w:val="00B90745"/>
    <w:rsid w:val="00B90F1B"/>
    <w:rsid w:val="00B923D9"/>
    <w:rsid w:val="00B92C67"/>
    <w:rsid w:val="00B92D93"/>
    <w:rsid w:val="00B9316C"/>
    <w:rsid w:val="00B93D46"/>
    <w:rsid w:val="00B943D5"/>
    <w:rsid w:val="00B94A7B"/>
    <w:rsid w:val="00B97766"/>
    <w:rsid w:val="00B97E88"/>
    <w:rsid w:val="00BA73EF"/>
    <w:rsid w:val="00BA7BEF"/>
    <w:rsid w:val="00BB2C92"/>
    <w:rsid w:val="00BB35F8"/>
    <w:rsid w:val="00BB6D19"/>
    <w:rsid w:val="00BC23A9"/>
    <w:rsid w:val="00BC2456"/>
    <w:rsid w:val="00BC3972"/>
    <w:rsid w:val="00BC3C65"/>
    <w:rsid w:val="00BC3EFC"/>
    <w:rsid w:val="00BC3F4F"/>
    <w:rsid w:val="00BC40B8"/>
    <w:rsid w:val="00BC445F"/>
    <w:rsid w:val="00BC5ACA"/>
    <w:rsid w:val="00BC5C69"/>
    <w:rsid w:val="00BC7ECC"/>
    <w:rsid w:val="00BD0DE6"/>
    <w:rsid w:val="00BD2D52"/>
    <w:rsid w:val="00BD45D0"/>
    <w:rsid w:val="00BD491E"/>
    <w:rsid w:val="00BD5D89"/>
    <w:rsid w:val="00BD5F63"/>
    <w:rsid w:val="00BD6801"/>
    <w:rsid w:val="00BE2F41"/>
    <w:rsid w:val="00BE4209"/>
    <w:rsid w:val="00BE535E"/>
    <w:rsid w:val="00BE57CF"/>
    <w:rsid w:val="00BE75D7"/>
    <w:rsid w:val="00BE764E"/>
    <w:rsid w:val="00BE7AF0"/>
    <w:rsid w:val="00BF0D90"/>
    <w:rsid w:val="00BF18B9"/>
    <w:rsid w:val="00BF4167"/>
    <w:rsid w:val="00BF5928"/>
    <w:rsid w:val="00BF5AAD"/>
    <w:rsid w:val="00C01922"/>
    <w:rsid w:val="00C02F47"/>
    <w:rsid w:val="00C02F68"/>
    <w:rsid w:val="00C040A3"/>
    <w:rsid w:val="00C054EB"/>
    <w:rsid w:val="00C06893"/>
    <w:rsid w:val="00C07289"/>
    <w:rsid w:val="00C077C2"/>
    <w:rsid w:val="00C07FF5"/>
    <w:rsid w:val="00C10D4B"/>
    <w:rsid w:val="00C11572"/>
    <w:rsid w:val="00C13B61"/>
    <w:rsid w:val="00C13C92"/>
    <w:rsid w:val="00C142D4"/>
    <w:rsid w:val="00C21220"/>
    <w:rsid w:val="00C2138A"/>
    <w:rsid w:val="00C21900"/>
    <w:rsid w:val="00C22A05"/>
    <w:rsid w:val="00C24CCF"/>
    <w:rsid w:val="00C25C71"/>
    <w:rsid w:val="00C30297"/>
    <w:rsid w:val="00C32637"/>
    <w:rsid w:val="00C337A0"/>
    <w:rsid w:val="00C3399F"/>
    <w:rsid w:val="00C34694"/>
    <w:rsid w:val="00C34C70"/>
    <w:rsid w:val="00C36C18"/>
    <w:rsid w:val="00C36FEE"/>
    <w:rsid w:val="00C374FF"/>
    <w:rsid w:val="00C4118A"/>
    <w:rsid w:val="00C422A6"/>
    <w:rsid w:val="00C43543"/>
    <w:rsid w:val="00C45E9E"/>
    <w:rsid w:val="00C462AF"/>
    <w:rsid w:val="00C5370E"/>
    <w:rsid w:val="00C540A7"/>
    <w:rsid w:val="00C54205"/>
    <w:rsid w:val="00C544AC"/>
    <w:rsid w:val="00C54706"/>
    <w:rsid w:val="00C54B60"/>
    <w:rsid w:val="00C55A91"/>
    <w:rsid w:val="00C55F49"/>
    <w:rsid w:val="00C57416"/>
    <w:rsid w:val="00C6245B"/>
    <w:rsid w:val="00C63F1B"/>
    <w:rsid w:val="00C660F7"/>
    <w:rsid w:val="00C663E3"/>
    <w:rsid w:val="00C66EA0"/>
    <w:rsid w:val="00C71A5C"/>
    <w:rsid w:val="00C71D4D"/>
    <w:rsid w:val="00C7218C"/>
    <w:rsid w:val="00C727A9"/>
    <w:rsid w:val="00C765E8"/>
    <w:rsid w:val="00C76A2D"/>
    <w:rsid w:val="00C771FD"/>
    <w:rsid w:val="00C825B7"/>
    <w:rsid w:val="00C82800"/>
    <w:rsid w:val="00C83158"/>
    <w:rsid w:val="00C8429C"/>
    <w:rsid w:val="00C8466B"/>
    <w:rsid w:val="00C85F09"/>
    <w:rsid w:val="00C90E8A"/>
    <w:rsid w:val="00C9128F"/>
    <w:rsid w:val="00C91BA7"/>
    <w:rsid w:val="00C937B2"/>
    <w:rsid w:val="00C94274"/>
    <w:rsid w:val="00C9594E"/>
    <w:rsid w:val="00C96461"/>
    <w:rsid w:val="00C966A4"/>
    <w:rsid w:val="00C9722C"/>
    <w:rsid w:val="00CA0C89"/>
    <w:rsid w:val="00CA1D04"/>
    <w:rsid w:val="00CA2745"/>
    <w:rsid w:val="00CA390E"/>
    <w:rsid w:val="00CA3F44"/>
    <w:rsid w:val="00CA44F5"/>
    <w:rsid w:val="00CA677C"/>
    <w:rsid w:val="00CB128D"/>
    <w:rsid w:val="00CB2094"/>
    <w:rsid w:val="00CB22F4"/>
    <w:rsid w:val="00CB3926"/>
    <w:rsid w:val="00CB5167"/>
    <w:rsid w:val="00CB6EC2"/>
    <w:rsid w:val="00CC0193"/>
    <w:rsid w:val="00CC0607"/>
    <w:rsid w:val="00CC0CEE"/>
    <w:rsid w:val="00CC0F9C"/>
    <w:rsid w:val="00CC12EA"/>
    <w:rsid w:val="00CC29EB"/>
    <w:rsid w:val="00CC6BA4"/>
    <w:rsid w:val="00CD07D5"/>
    <w:rsid w:val="00CD29AA"/>
    <w:rsid w:val="00CD3458"/>
    <w:rsid w:val="00CD3B05"/>
    <w:rsid w:val="00CD48A4"/>
    <w:rsid w:val="00CD5DAC"/>
    <w:rsid w:val="00CD5E0E"/>
    <w:rsid w:val="00CE35DF"/>
    <w:rsid w:val="00CE3D9A"/>
    <w:rsid w:val="00CE4CD2"/>
    <w:rsid w:val="00CE4FB6"/>
    <w:rsid w:val="00CE5D6E"/>
    <w:rsid w:val="00CE607F"/>
    <w:rsid w:val="00CF0053"/>
    <w:rsid w:val="00CF0583"/>
    <w:rsid w:val="00CF3509"/>
    <w:rsid w:val="00CF399A"/>
    <w:rsid w:val="00CF3DCF"/>
    <w:rsid w:val="00CF40B6"/>
    <w:rsid w:val="00CF45D1"/>
    <w:rsid w:val="00CF6C37"/>
    <w:rsid w:val="00CF6EDC"/>
    <w:rsid w:val="00CF6F14"/>
    <w:rsid w:val="00CF7860"/>
    <w:rsid w:val="00D008B9"/>
    <w:rsid w:val="00D01B30"/>
    <w:rsid w:val="00D02E71"/>
    <w:rsid w:val="00D033BA"/>
    <w:rsid w:val="00D0394F"/>
    <w:rsid w:val="00D0570D"/>
    <w:rsid w:val="00D05DB0"/>
    <w:rsid w:val="00D0631C"/>
    <w:rsid w:val="00D07558"/>
    <w:rsid w:val="00D10AE4"/>
    <w:rsid w:val="00D124A2"/>
    <w:rsid w:val="00D135ED"/>
    <w:rsid w:val="00D14B04"/>
    <w:rsid w:val="00D15BAD"/>
    <w:rsid w:val="00D16B25"/>
    <w:rsid w:val="00D17240"/>
    <w:rsid w:val="00D17950"/>
    <w:rsid w:val="00D17A4B"/>
    <w:rsid w:val="00D20246"/>
    <w:rsid w:val="00D2026D"/>
    <w:rsid w:val="00D21323"/>
    <w:rsid w:val="00D23E5B"/>
    <w:rsid w:val="00D25596"/>
    <w:rsid w:val="00D26FFC"/>
    <w:rsid w:val="00D272C0"/>
    <w:rsid w:val="00D27C01"/>
    <w:rsid w:val="00D30FED"/>
    <w:rsid w:val="00D31B02"/>
    <w:rsid w:val="00D32796"/>
    <w:rsid w:val="00D3372A"/>
    <w:rsid w:val="00D34247"/>
    <w:rsid w:val="00D3546E"/>
    <w:rsid w:val="00D371D2"/>
    <w:rsid w:val="00D4001A"/>
    <w:rsid w:val="00D4226C"/>
    <w:rsid w:val="00D4385A"/>
    <w:rsid w:val="00D4458A"/>
    <w:rsid w:val="00D44933"/>
    <w:rsid w:val="00D44A79"/>
    <w:rsid w:val="00D44C5B"/>
    <w:rsid w:val="00D44F81"/>
    <w:rsid w:val="00D45D66"/>
    <w:rsid w:val="00D46351"/>
    <w:rsid w:val="00D46B8C"/>
    <w:rsid w:val="00D50360"/>
    <w:rsid w:val="00D53B1D"/>
    <w:rsid w:val="00D55248"/>
    <w:rsid w:val="00D558C3"/>
    <w:rsid w:val="00D56C0C"/>
    <w:rsid w:val="00D56E21"/>
    <w:rsid w:val="00D6001A"/>
    <w:rsid w:val="00D6550E"/>
    <w:rsid w:val="00D677C9"/>
    <w:rsid w:val="00D71124"/>
    <w:rsid w:val="00D713CF"/>
    <w:rsid w:val="00D729C9"/>
    <w:rsid w:val="00D72D04"/>
    <w:rsid w:val="00D74C59"/>
    <w:rsid w:val="00D75112"/>
    <w:rsid w:val="00D777D6"/>
    <w:rsid w:val="00D77941"/>
    <w:rsid w:val="00D80CC6"/>
    <w:rsid w:val="00D81A30"/>
    <w:rsid w:val="00D81E66"/>
    <w:rsid w:val="00D858DA"/>
    <w:rsid w:val="00D8602C"/>
    <w:rsid w:val="00D86283"/>
    <w:rsid w:val="00D86E03"/>
    <w:rsid w:val="00D8737C"/>
    <w:rsid w:val="00D87836"/>
    <w:rsid w:val="00D87D20"/>
    <w:rsid w:val="00D90709"/>
    <w:rsid w:val="00D92A94"/>
    <w:rsid w:val="00D93697"/>
    <w:rsid w:val="00D936AA"/>
    <w:rsid w:val="00D95DE5"/>
    <w:rsid w:val="00D969D6"/>
    <w:rsid w:val="00D96A47"/>
    <w:rsid w:val="00D9758B"/>
    <w:rsid w:val="00DA2365"/>
    <w:rsid w:val="00DA2525"/>
    <w:rsid w:val="00DA439F"/>
    <w:rsid w:val="00DA43DD"/>
    <w:rsid w:val="00DA4880"/>
    <w:rsid w:val="00DA49D2"/>
    <w:rsid w:val="00DA4C49"/>
    <w:rsid w:val="00DA5670"/>
    <w:rsid w:val="00DA6DB2"/>
    <w:rsid w:val="00DB111A"/>
    <w:rsid w:val="00DB27FA"/>
    <w:rsid w:val="00DB283F"/>
    <w:rsid w:val="00DB3666"/>
    <w:rsid w:val="00DB45D6"/>
    <w:rsid w:val="00DB47CC"/>
    <w:rsid w:val="00DB5432"/>
    <w:rsid w:val="00DB5DC3"/>
    <w:rsid w:val="00DB7ED1"/>
    <w:rsid w:val="00DC3CC0"/>
    <w:rsid w:val="00DC4527"/>
    <w:rsid w:val="00DC727A"/>
    <w:rsid w:val="00DC7527"/>
    <w:rsid w:val="00DD0A3C"/>
    <w:rsid w:val="00DD0BB5"/>
    <w:rsid w:val="00DD2E1A"/>
    <w:rsid w:val="00DD4F4A"/>
    <w:rsid w:val="00DD4FC1"/>
    <w:rsid w:val="00DD5EE7"/>
    <w:rsid w:val="00DD69AD"/>
    <w:rsid w:val="00DD7BA4"/>
    <w:rsid w:val="00DD7FEC"/>
    <w:rsid w:val="00DE06E9"/>
    <w:rsid w:val="00DE1B7A"/>
    <w:rsid w:val="00DE20A6"/>
    <w:rsid w:val="00DE44F9"/>
    <w:rsid w:val="00DE5DC4"/>
    <w:rsid w:val="00DE7CA1"/>
    <w:rsid w:val="00DE7F6C"/>
    <w:rsid w:val="00DF08AB"/>
    <w:rsid w:val="00DF2951"/>
    <w:rsid w:val="00DF45B9"/>
    <w:rsid w:val="00DF704F"/>
    <w:rsid w:val="00DF79D2"/>
    <w:rsid w:val="00E00D27"/>
    <w:rsid w:val="00E01441"/>
    <w:rsid w:val="00E025DC"/>
    <w:rsid w:val="00E02D16"/>
    <w:rsid w:val="00E031A2"/>
    <w:rsid w:val="00E03A5C"/>
    <w:rsid w:val="00E03AA7"/>
    <w:rsid w:val="00E03CF3"/>
    <w:rsid w:val="00E04883"/>
    <w:rsid w:val="00E12BFB"/>
    <w:rsid w:val="00E14FBB"/>
    <w:rsid w:val="00E1620F"/>
    <w:rsid w:val="00E16E43"/>
    <w:rsid w:val="00E17BAC"/>
    <w:rsid w:val="00E215CC"/>
    <w:rsid w:val="00E264E4"/>
    <w:rsid w:val="00E265B4"/>
    <w:rsid w:val="00E300C0"/>
    <w:rsid w:val="00E3033F"/>
    <w:rsid w:val="00E31A67"/>
    <w:rsid w:val="00E31D83"/>
    <w:rsid w:val="00E334CF"/>
    <w:rsid w:val="00E34842"/>
    <w:rsid w:val="00E3623D"/>
    <w:rsid w:val="00E375FE"/>
    <w:rsid w:val="00E401CF"/>
    <w:rsid w:val="00E40A8C"/>
    <w:rsid w:val="00E41F19"/>
    <w:rsid w:val="00E42081"/>
    <w:rsid w:val="00E42F4F"/>
    <w:rsid w:val="00E42F78"/>
    <w:rsid w:val="00E43694"/>
    <w:rsid w:val="00E43B7F"/>
    <w:rsid w:val="00E4414A"/>
    <w:rsid w:val="00E4588E"/>
    <w:rsid w:val="00E4785A"/>
    <w:rsid w:val="00E47BCB"/>
    <w:rsid w:val="00E51FE0"/>
    <w:rsid w:val="00E524D0"/>
    <w:rsid w:val="00E5258C"/>
    <w:rsid w:val="00E52F47"/>
    <w:rsid w:val="00E537B4"/>
    <w:rsid w:val="00E537B9"/>
    <w:rsid w:val="00E568AD"/>
    <w:rsid w:val="00E57641"/>
    <w:rsid w:val="00E600E8"/>
    <w:rsid w:val="00E60431"/>
    <w:rsid w:val="00E60676"/>
    <w:rsid w:val="00E60D80"/>
    <w:rsid w:val="00E60DD8"/>
    <w:rsid w:val="00E627FF"/>
    <w:rsid w:val="00E62EFC"/>
    <w:rsid w:val="00E636F5"/>
    <w:rsid w:val="00E6376D"/>
    <w:rsid w:val="00E65D27"/>
    <w:rsid w:val="00E66225"/>
    <w:rsid w:val="00E67415"/>
    <w:rsid w:val="00E70118"/>
    <w:rsid w:val="00E70FF9"/>
    <w:rsid w:val="00E71035"/>
    <w:rsid w:val="00E7129F"/>
    <w:rsid w:val="00E71A92"/>
    <w:rsid w:val="00E72B65"/>
    <w:rsid w:val="00E7435D"/>
    <w:rsid w:val="00E746A1"/>
    <w:rsid w:val="00E75F90"/>
    <w:rsid w:val="00E761DA"/>
    <w:rsid w:val="00E769C6"/>
    <w:rsid w:val="00E77B7D"/>
    <w:rsid w:val="00E803BE"/>
    <w:rsid w:val="00E82B06"/>
    <w:rsid w:val="00E83264"/>
    <w:rsid w:val="00E855D6"/>
    <w:rsid w:val="00E86B33"/>
    <w:rsid w:val="00E86CC7"/>
    <w:rsid w:val="00E86D43"/>
    <w:rsid w:val="00E86D6F"/>
    <w:rsid w:val="00E91061"/>
    <w:rsid w:val="00E92817"/>
    <w:rsid w:val="00E92D2A"/>
    <w:rsid w:val="00E93233"/>
    <w:rsid w:val="00E93504"/>
    <w:rsid w:val="00E95394"/>
    <w:rsid w:val="00E954B6"/>
    <w:rsid w:val="00E95A1C"/>
    <w:rsid w:val="00E9752B"/>
    <w:rsid w:val="00EA0FB5"/>
    <w:rsid w:val="00EA1A64"/>
    <w:rsid w:val="00EA2012"/>
    <w:rsid w:val="00EA33D3"/>
    <w:rsid w:val="00EA3F54"/>
    <w:rsid w:val="00EA43A1"/>
    <w:rsid w:val="00EA4A58"/>
    <w:rsid w:val="00EA5A84"/>
    <w:rsid w:val="00EA61B2"/>
    <w:rsid w:val="00EA75AE"/>
    <w:rsid w:val="00EB01A4"/>
    <w:rsid w:val="00EB05F0"/>
    <w:rsid w:val="00EB121A"/>
    <w:rsid w:val="00EB2A53"/>
    <w:rsid w:val="00EB3D7E"/>
    <w:rsid w:val="00EB3DF7"/>
    <w:rsid w:val="00EB59B2"/>
    <w:rsid w:val="00EB6C82"/>
    <w:rsid w:val="00EB78F6"/>
    <w:rsid w:val="00EB7DA2"/>
    <w:rsid w:val="00EC4C06"/>
    <w:rsid w:val="00EC4F10"/>
    <w:rsid w:val="00EC5A96"/>
    <w:rsid w:val="00EC6FF0"/>
    <w:rsid w:val="00ED066B"/>
    <w:rsid w:val="00ED084D"/>
    <w:rsid w:val="00ED215D"/>
    <w:rsid w:val="00ED4350"/>
    <w:rsid w:val="00ED4AB6"/>
    <w:rsid w:val="00ED4CCD"/>
    <w:rsid w:val="00ED517D"/>
    <w:rsid w:val="00ED53E7"/>
    <w:rsid w:val="00ED6C43"/>
    <w:rsid w:val="00ED748D"/>
    <w:rsid w:val="00EE0158"/>
    <w:rsid w:val="00EE039B"/>
    <w:rsid w:val="00EE19B6"/>
    <w:rsid w:val="00EE27EB"/>
    <w:rsid w:val="00EE3FAA"/>
    <w:rsid w:val="00EE512D"/>
    <w:rsid w:val="00EE5AF8"/>
    <w:rsid w:val="00EE5BAB"/>
    <w:rsid w:val="00EE7ACA"/>
    <w:rsid w:val="00EF0B30"/>
    <w:rsid w:val="00EF2EA7"/>
    <w:rsid w:val="00EF332E"/>
    <w:rsid w:val="00EF3B9C"/>
    <w:rsid w:val="00EF422F"/>
    <w:rsid w:val="00EF5423"/>
    <w:rsid w:val="00F00029"/>
    <w:rsid w:val="00F00442"/>
    <w:rsid w:val="00F0080F"/>
    <w:rsid w:val="00F00971"/>
    <w:rsid w:val="00F03494"/>
    <w:rsid w:val="00F03D1C"/>
    <w:rsid w:val="00F041F4"/>
    <w:rsid w:val="00F05FE1"/>
    <w:rsid w:val="00F10CC3"/>
    <w:rsid w:val="00F20E85"/>
    <w:rsid w:val="00F211A6"/>
    <w:rsid w:val="00F23909"/>
    <w:rsid w:val="00F23C8E"/>
    <w:rsid w:val="00F23D1F"/>
    <w:rsid w:val="00F24C7D"/>
    <w:rsid w:val="00F26F27"/>
    <w:rsid w:val="00F27B38"/>
    <w:rsid w:val="00F3010D"/>
    <w:rsid w:val="00F307CF"/>
    <w:rsid w:val="00F307DE"/>
    <w:rsid w:val="00F30EC5"/>
    <w:rsid w:val="00F314A5"/>
    <w:rsid w:val="00F3287E"/>
    <w:rsid w:val="00F32B40"/>
    <w:rsid w:val="00F36D66"/>
    <w:rsid w:val="00F378A0"/>
    <w:rsid w:val="00F42301"/>
    <w:rsid w:val="00F42583"/>
    <w:rsid w:val="00F44D81"/>
    <w:rsid w:val="00F45D66"/>
    <w:rsid w:val="00F46142"/>
    <w:rsid w:val="00F50AC6"/>
    <w:rsid w:val="00F5107F"/>
    <w:rsid w:val="00F52148"/>
    <w:rsid w:val="00F527CB"/>
    <w:rsid w:val="00F535DE"/>
    <w:rsid w:val="00F53D6B"/>
    <w:rsid w:val="00F54FDB"/>
    <w:rsid w:val="00F577E6"/>
    <w:rsid w:val="00F57BE6"/>
    <w:rsid w:val="00F57D6C"/>
    <w:rsid w:val="00F617B9"/>
    <w:rsid w:val="00F62E88"/>
    <w:rsid w:val="00F6333D"/>
    <w:rsid w:val="00F63C90"/>
    <w:rsid w:val="00F647CD"/>
    <w:rsid w:val="00F65469"/>
    <w:rsid w:val="00F67101"/>
    <w:rsid w:val="00F675D1"/>
    <w:rsid w:val="00F67A67"/>
    <w:rsid w:val="00F71D86"/>
    <w:rsid w:val="00F71F95"/>
    <w:rsid w:val="00F729DA"/>
    <w:rsid w:val="00F72FEC"/>
    <w:rsid w:val="00F7368B"/>
    <w:rsid w:val="00F73E46"/>
    <w:rsid w:val="00F744F1"/>
    <w:rsid w:val="00F75618"/>
    <w:rsid w:val="00F75660"/>
    <w:rsid w:val="00F7574D"/>
    <w:rsid w:val="00F7602F"/>
    <w:rsid w:val="00F82944"/>
    <w:rsid w:val="00F83122"/>
    <w:rsid w:val="00F86D93"/>
    <w:rsid w:val="00F87EA3"/>
    <w:rsid w:val="00F90357"/>
    <w:rsid w:val="00F90A77"/>
    <w:rsid w:val="00F9214A"/>
    <w:rsid w:val="00F921A0"/>
    <w:rsid w:val="00F92586"/>
    <w:rsid w:val="00F929C4"/>
    <w:rsid w:val="00F93E1E"/>
    <w:rsid w:val="00F96876"/>
    <w:rsid w:val="00F9745B"/>
    <w:rsid w:val="00FA0C1C"/>
    <w:rsid w:val="00FA12E9"/>
    <w:rsid w:val="00FA1953"/>
    <w:rsid w:val="00FA2F99"/>
    <w:rsid w:val="00FA4B04"/>
    <w:rsid w:val="00FA7A9C"/>
    <w:rsid w:val="00FB136B"/>
    <w:rsid w:val="00FB1AC9"/>
    <w:rsid w:val="00FB1DBF"/>
    <w:rsid w:val="00FB1F3C"/>
    <w:rsid w:val="00FB226F"/>
    <w:rsid w:val="00FB2A65"/>
    <w:rsid w:val="00FB2CF3"/>
    <w:rsid w:val="00FB430A"/>
    <w:rsid w:val="00FB4ACE"/>
    <w:rsid w:val="00FB4C64"/>
    <w:rsid w:val="00FB5296"/>
    <w:rsid w:val="00FB750F"/>
    <w:rsid w:val="00FC2FFE"/>
    <w:rsid w:val="00FC3A5E"/>
    <w:rsid w:val="00FC6050"/>
    <w:rsid w:val="00FC6DC9"/>
    <w:rsid w:val="00FC7E0F"/>
    <w:rsid w:val="00FD24C3"/>
    <w:rsid w:val="00FD28C1"/>
    <w:rsid w:val="00FD2989"/>
    <w:rsid w:val="00FD5409"/>
    <w:rsid w:val="00FD64F9"/>
    <w:rsid w:val="00FD664B"/>
    <w:rsid w:val="00FD7313"/>
    <w:rsid w:val="00FD7F45"/>
    <w:rsid w:val="00FE00BF"/>
    <w:rsid w:val="00FE0642"/>
    <w:rsid w:val="00FE074D"/>
    <w:rsid w:val="00FE1790"/>
    <w:rsid w:val="00FE1BB7"/>
    <w:rsid w:val="00FE1D3A"/>
    <w:rsid w:val="00FE20A2"/>
    <w:rsid w:val="00FE35BC"/>
    <w:rsid w:val="00FE420B"/>
    <w:rsid w:val="00FE4DD6"/>
    <w:rsid w:val="00FE5862"/>
    <w:rsid w:val="00FF04EB"/>
    <w:rsid w:val="00FF081A"/>
    <w:rsid w:val="00FF0B3A"/>
    <w:rsid w:val="00FF1952"/>
    <w:rsid w:val="00FF279F"/>
    <w:rsid w:val="00FF2E4B"/>
    <w:rsid w:val="00FF3F66"/>
    <w:rsid w:val="00FF584E"/>
    <w:rsid w:val="00FF5D41"/>
    <w:rsid w:val="00FF6A09"/>
    <w:rsid w:val="00FF6A3C"/>
    <w:rsid w:val="056E00CB"/>
    <w:rsid w:val="1826A576"/>
    <w:rsid w:val="18A54FDC"/>
    <w:rsid w:val="1ACA2E64"/>
    <w:rsid w:val="1C5B23AB"/>
    <w:rsid w:val="1FF1BC69"/>
    <w:rsid w:val="219A6C1B"/>
    <w:rsid w:val="229F5958"/>
    <w:rsid w:val="231C44A7"/>
    <w:rsid w:val="23F5C643"/>
    <w:rsid w:val="2414A4B4"/>
    <w:rsid w:val="248874C0"/>
    <w:rsid w:val="253DE21F"/>
    <w:rsid w:val="270EF5FA"/>
    <w:rsid w:val="29CCDEB7"/>
    <w:rsid w:val="2AD97934"/>
    <w:rsid w:val="2AEBFF26"/>
    <w:rsid w:val="2F426EC0"/>
    <w:rsid w:val="364A1C09"/>
    <w:rsid w:val="3CF3DDD5"/>
    <w:rsid w:val="3E228F38"/>
    <w:rsid w:val="403FCADB"/>
    <w:rsid w:val="420C578D"/>
    <w:rsid w:val="45AA2415"/>
    <w:rsid w:val="46C7479E"/>
    <w:rsid w:val="4E38A602"/>
    <w:rsid w:val="4EC0552C"/>
    <w:rsid w:val="4F67638C"/>
    <w:rsid w:val="5104E453"/>
    <w:rsid w:val="533D7E4A"/>
    <w:rsid w:val="56F9CF93"/>
    <w:rsid w:val="57A62FC0"/>
    <w:rsid w:val="5910598E"/>
    <w:rsid w:val="5EF4752D"/>
    <w:rsid w:val="62702EAA"/>
    <w:rsid w:val="6757F0E0"/>
    <w:rsid w:val="6DBDEF7A"/>
    <w:rsid w:val="6FECEE79"/>
    <w:rsid w:val="74187D63"/>
    <w:rsid w:val="758DA578"/>
    <w:rsid w:val="772DECCF"/>
    <w:rsid w:val="7A921F18"/>
    <w:rsid w:val="7E7D9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11C1C"/>
  <w15:docId w15:val="{7CECFE1C-64CA-4A79-B4ED-4EEF03A9E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3402"/>
    <w:rPr>
      <w:rFonts w:ascii="Arial" w:eastAsia="Arial" w:hAnsi="Arial" w:cs="Arial"/>
      <w:lang w:val="en-GB" w:eastAsia="en-GB" w:bidi="en-GB"/>
    </w:rPr>
  </w:style>
  <w:style w:type="paragraph" w:styleId="Heading1">
    <w:name w:val="heading 1"/>
    <w:basedOn w:val="Normal"/>
    <w:link w:val="Heading1Char"/>
    <w:uiPriority w:val="1"/>
    <w:qFormat/>
    <w:pPr>
      <w:ind w:left="140"/>
      <w:outlineLvl w:val="0"/>
    </w:pPr>
    <w:rPr>
      <w:b/>
      <w:bCs/>
      <w:sz w:val="32"/>
      <w:szCs w:val="32"/>
    </w:rPr>
  </w:style>
  <w:style w:type="paragraph" w:styleId="Heading2">
    <w:name w:val="heading 2"/>
    <w:basedOn w:val="Normal"/>
    <w:link w:val="Heading2Char"/>
    <w:uiPriority w:val="1"/>
    <w:qFormat/>
    <w:pPr>
      <w:ind w:left="140"/>
      <w:outlineLvl w:val="1"/>
    </w:pPr>
    <w:rPr>
      <w:b/>
      <w:bCs/>
      <w:sz w:val="24"/>
      <w:szCs w:val="24"/>
    </w:rPr>
  </w:style>
  <w:style w:type="paragraph" w:styleId="Heading4">
    <w:name w:val="heading 4"/>
    <w:basedOn w:val="Normal"/>
    <w:next w:val="Normal"/>
    <w:link w:val="Heading4Char"/>
    <w:uiPriority w:val="9"/>
    <w:semiHidden/>
    <w:unhideWhenUsed/>
    <w:qFormat/>
    <w:rsid w:val="00A4605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860" w:hanging="360"/>
    </w:pPr>
  </w:style>
  <w:style w:type="paragraph" w:customStyle="1" w:styleId="TableParagraph">
    <w:name w:val="Table Paragraph"/>
    <w:basedOn w:val="Normal"/>
    <w:uiPriority w:val="1"/>
    <w:qFormat/>
    <w:pPr>
      <w:spacing w:line="229" w:lineRule="exact"/>
      <w:ind w:right="99"/>
      <w:jc w:val="right"/>
    </w:pPr>
  </w:style>
  <w:style w:type="paragraph" w:styleId="BalloonText">
    <w:name w:val="Balloon Text"/>
    <w:basedOn w:val="Normal"/>
    <w:link w:val="BalloonTextChar"/>
    <w:uiPriority w:val="99"/>
    <w:semiHidden/>
    <w:unhideWhenUsed/>
    <w:rsid w:val="00C660F7"/>
    <w:rPr>
      <w:rFonts w:ascii="Tahoma" w:hAnsi="Tahoma" w:cs="Tahoma"/>
      <w:sz w:val="16"/>
      <w:szCs w:val="16"/>
    </w:rPr>
  </w:style>
  <w:style w:type="character" w:customStyle="1" w:styleId="BalloonTextChar">
    <w:name w:val="Balloon Text Char"/>
    <w:basedOn w:val="DefaultParagraphFont"/>
    <w:link w:val="BalloonText"/>
    <w:uiPriority w:val="99"/>
    <w:semiHidden/>
    <w:rsid w:val="00C660F7"/>
    <w:rPr>
      <w:rFonts w:ascii="Tahoma" w:eastAsia="Arial" w:hAnsi="Tahoma" w:cs="Tahoma"/>
      <w:sz w:val="16"/>
      <w:szCs w:val="16"/>
      <w:lang w:val="en-GB" w:eastAsia="en-GB" w:bidi="en-GB"/>
    </w:rPr>
  </w:style>
  <w:style w:type="table" w:styleId="TableGrid">
    <w:name w:val="Table Grid"/>
    <w:basedOn w:val="TableNormal"/>
    <w:uiPriority w:val="59"/>
    <w:rsid w:val="006A7981"/>
    <w:pPr>
      <w:widowControl/>
      <w:autoSpaceDE/>
      <w:autoSpaceDN/>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A7981"/>
    <w:rPr>
      <w:color w:val="0000FF" w:themeColor="hyperlink"/>
      <w:u w:val="single"/>
    </w:rPr>
  </w:style>
  <w:style w:type="paragraph" w:styleId="Header">
    <w:name w:val="header"/>
    <w:basedOn w:val="Normal"/>
    <w:link w:val="HeaderChar"/>
    <w:uiPriority w:val="99"/>
    <w:unhideWhenUsed/>
    <w:rsid w:val="00911878"/>
    <w:pPr>
      <w:tabs>
        <w:tab w:val="center" w:pos="4513"/>
        <w:tab w:val="right" w:pos="9026"/>
      </w:tabs>
    </w:pPr>
  </w:style>
  <w:style w:type="character" w:customStyle="1" w:styleId="HeaderChar">
    <w:name w:val="Header Char"/>
    <w:basedOn w:val="DefaultParagraphFont"/>
    <w:link w:val="Header"/>
    <w:uiPriority w:val="99"/>
    <w:rsid w:val="00911878"/>
    <w:rPr>
      <w:rFonts w:ascii="Arial" w:eastAsia="Arial" w:hAnsi="Arial" w:cs="Arial"/>
      <w:lang w:val="en-GB" w:eastAsia="en-GB" w:bidi="en-GB"/>
    </w:rPr>
  </w:style>
  <w:style w:type="paragraph" w:styleId="Footer">
    <w:name w:val="footer"/>
    <w:basedOn w:val="Normal"/>
    <w:link w:val="FooterChar"/>
    <w:uiPriority w:val="99"/>
    <w:unhideWhenUsed/>
    <w:rsid w:val="00911878"/>
    <w:pPr>
      <w:tabs>
        <w:tab w:val="center" w:pos="4513"/>
        <w:tab w:val="right" w:pos="9026"/>
      </w:tabs>
    </w:pPr>
  </w:style>
  <w:style w:type="character" w:customStyle="1" w:styleId="FooterChar">
    <w:name w:val="Footer Char"/>
    <w:basedOn w:val="DefaultParagraphFont"/>
    <w:link w:val="Footer"/>
    <w:uiPriority w:val="99"/>
    <w:rsid w:val="00911878"/>
    <w:rPr>
      <w:rFonts w:ascii="Arial" w:eastAsia="Arial" w:hAnsi="Arial" w:cs="Arial"/>
      <w:lang w:val="en-GB" w:eastAsia="en-GB" w:bidi="en-GB"/>
    </w:rPr>
  </w:style>
  <w:style w:type="paragraph" w:styleId="Revision">
    <w:name w:val="Revision"/>
    <w:hidden/>
    <w:uiPriority w:val="99"/>
    <w:semiHidden/>
    <w:rsid w:val="00C54205"/>
    <w:pPr>
      <w:widowControl/>
      <w:autoSpaceDE/>
      <w:autoSpaceDN/>
    </w:pPr>
    <w:rPr>
      <w:rFonts w:ascii="Arial" w:eastAsia="Arial" w:hAnsi="Arial" w:cs="Arial"/>
      <w:lang w:val="en-GB" w:eastAsia="en-GB" w:bidi="en-GB"/>
    </w:rPr>
  </w:style>
  <w:style w:type="character" w:styleId="FollowedHyperlink">
    <w:name w:val="FollowedHyperlink"/>
    <w:basedOn w:val="DefaultParagraphFont"/>
    <w:uiPriority w:val="99"/>
    <w:semiHidden/>
    <w:unhideWhenUsed/>
    <w:rsid w:val="006A008B"/>
    <w:rPr>
      <w:color w:val="800080" w:themeColor="followedHyperlink"/>
      <w:u w:val="single"/>
    </w:rPr>
  </w:style>
  <w:style w:type="paragraph" w:styleId="TOCHeading">
    <w:name w:val="TOC Heading"/>
    <w:basedOn w:val="Heading1"/>
    <w:next w:val="Normal"/>
    <w:uiPriority w:val="39"/>
    <w:unhideWhenUsed/>
    <w:qFormat/>
    <w:rsid w:val="0087035A"/>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en-US" w:eastAsia="ja-JP" w:bidi="ar-SA"/>
    </w:rPr>
  </w:style>
  <w:style w:type="paragraph" w:styleId="TOC2">
    <w:name w:val="toc 2"/>
    <w:basedOn w:val="Normal"/>
    <w:next w:val="Normal"/>
    <w:autoRedefine/>
    <w:uiPriority w:val="39"/>
    <w:unhideWhenUsed/>
    <w:qFormat/>
    <w:rsid w:val="0087035A"/>
    <w:pPr>
      <w:spacing w:before="120"/>
      <w:ind w:left="220"/>
    </w:pPr>
    <w:rPr>
      <w:rFonts w:asciiTheme="minorHAnsi" w:hAnsiTheme="minorHAnsi" w:cstheme="minorHAnsi"/>
      <w:i/>
      <w:iCs/>
      <w:sz w:val="20"/>
      <w:szCs w:val="20"/>
    </w:rPr>
  </w:style>
  <w:style w:type="paragraph" w:styleId="TOC1">
    <w:name w:val="toc 1"/>
    <w:basedOn w:val="Normal"/>
    <w:next w:val="Normal"/>
    <w:autoRedefine/>
    <w:uiPriority w:val="39"/>
    <w:unhideWhenUsed/>
    <w:qFormat/>
    <w:rsid w:val="00A14372"/>
    <w:pPr>
      <w:spacing w:before="240" w:after="120"/>
    </w:pPr>
    <w:rPr>
      <w:rFonts w:asciiTheme="minorHAnsi" w:hAnsiTheme="minorHAnsi" w:cstheme="minorHAnsi"/>
      <w:b/>
      <w:bCs/>
      <w:sz w:val="20"/>
      <w:szCs w:val="20"/>
    </w:rPr>
  </w:style>
  <w:style w:type="paragraph" w:styleId="TOC3">
    <w:name w:val="toc 3"/>
    <w:basedOn w:val="Normal"/>
    <w:next w:val="Normal"/>
    <w:autoRedefine/>
    <w:uiPriority w:val="39"/>
    <w:unhideWhenUsed/>
    <w:qFormat/>
    <w:rsid w:val="0087035A"/>
    <w:pPr>
      <w:ind w:left="440"/>
    </w:pPr>
    <w:rPr>
      <w:rFonts w:asciiTheme="minorHAnsi" w:hAnsiTheme="minorHAnsi" w:cstheme="minorHAnsi"/>
      <w:sz w:val="20"/>
      <w:szCs w:val="20"/>
    </w:rPr>
  </w:style>
  <w:style w:type="character" w:customStyle="1" w:styleId="st1">
    <w:name w:val="st1"/>
    <w:basedOn w:val="DefaultParagraphFont"/>
    <w:rsid w:val="007D30D9"/>
  </w:style>
  <w:style w:type="paragraph" w:styleId="FootnoteText">
    <w:name w:val="footnote text"/>
    <w:basedOn w:val="Normal"/>
    <w:link w:val="FootnoteTextChar"/>
    <w:uiPriority w:val="99"/>
    <w:unhideWhenUsed/>
    <w:rsid w:val="00137BC7"/>
    <w:pPr>
      <w:widowControl/>
      <w:autoSpaceDE/>
      <w:autoSpaceDN/>
    </w:pPr>
    <w:rPr>
      <w:rFonts w:asciiTheme="minorHAnsi" w:eastAsiaTheme="minorHAnsi" w:hAnsiTheme="minorHAnsi" w:cstheme="minorBidi"/>
      <w:sz w:val="20"/>
      <w:szCs w:val="20"/>
      <w:lang w:eastAsia="en-US" w:bidi="ar-SA"/>
    </w:rPr>
  </w:style>
  <w:style w:type="character" w:customStyle="1" w:styleId="FootnoteTextChar">
    <w:name w:val="Footnote Text Char"/>
    <w:basedOn w:val="DefaultParagraphFont"/>
    <w:link w:val="FootnoteText"/>
    <w:uiPriority w:val="99"/>
    <w:rsid w:val="00137BC7"/>
    <w:rPr>
      <w:sz w:val="20"/>
      <w:szCs w:val="20"/>
      <w:lang w:val="en-GB"/>
    </w:rPr>
  </w:style>
  <w:style w:type="character" w:styleId="CommentReference">
    <w:name w:val="annotation reference"/>
    <w:basedOn w:val="DefaultParagraphFont"/>
    <w:uiPriority w:val="99"/>
    <w:semiHidden/>
    <w:unhideWhenUsed/>
    <w:rsid w:val="00E60431"/>
    <w:rPr>
      <w:sz w:val="16"/>
      <w:szCs w:val="16"/>
    </w:rPr>
  </w:style>
  <w:style w:type="paragraph" w:styleId="CommentText">
    <w:name w:val="annotation text"/>
    <w:basedOn w:val="Normal"/>
    <w:link w:val="CommentTextChar"/>
    <w:uiPriority w:val="99"/>
    <w:unhideWhenUsed/>
    <w:rsid w:val="00E60431"/>
    <w:rPr>
      <w:sz w:val="20"/>
      <w:szCs w:val="20"/>
    </w:rPr>
  </w:style>
  <w:style w:type="character" w:customStyle="1" w:styleId="CommentTextChar">
    <w:name w:val="Comment Text Char"/>
    <w:basedOn w:val="DefaultParagraphFont"/>
    <w:link w:val="CommentText"/>
    <w:uiPriority w:val="99"/>
    <w:rsid w:val="00E60431"/>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E60431"/>
    <w:rPr>
      <w:b/>
      <w:bCs/>
    </w:rPr>
  </w:style>
  <w:style w:type="character" w:customStyle="1" w:styleId="CommentSubjectChar">
    <w:name w:val="Comment Subject Char"/>
    <w:basedOn w:val="CommentTextChar"/>
    <w:link w:val="CommentSubject"/>
    <w:uiPriority w:val="99"/>
    <w:semiHidden/>
    <w:rsid w:val="00E60431"/>
    <w:rPr>
      <w:rFonts w:ascii="Arial" w:eastAsia="Arial" w:hAnsi="Arial" w:cs="Arial"/>
      <w:b/>
      <w:bCs/>
      <w:sz w:val="20"/>
      <w:szCs w:val="20"/>
      <w:lang w:val="en-GB" w:eastAsia="en-GB" w:bidi="en-GB"/>
    </w:rPr>
  </w:style>
  <w:style w:type="character" w:customStyle="1" w:styleId="Heading4Char">
    <w:name w:val="Heading 4 Char"/>
    <w:basedOn w:val="DefaultParagraphFont"/>
    <w:link w:val="Heading4"/>
    <w:uiPriority w:val="9"/>
    <w:semiHidden/>
    <w:rsid w:val="00A46056"/>
    <w:rPr>
      <w:rFonts w:asciiTheme="majorHAnsi" w:eastAsiaTheme="majorEastAsia" w:hAnsiTheme="majorHAnsi" w:cstheme="majorBidi"/>
      <w:b/>
      <w:bCs/>
      <w:i/>
      <w:iCs/>
      <w:color w:val="4F81BD" w:themeColor="accent1"/>
      <w:lang w:val="en-GB" w:eastAsia="en-GB" w:bidi="en-GB"/>
    </w:rPr>
  </w:style>
  <w:style w:type="paragraph" w:customStyle="1" w:styleId="Default">
    <w:name w:val="Default"/>
    <w:rsid w:val="00A46056"/>
    <w:pPr>
      <w:widowControl/>
      <w:adjustRightInd w:val="0"/>
    </w:pPr>
    <w:rPr>
      <w:rFonts w:ascii="HelveticaNeueLT Std Lt" w:hAnsi="HelveticaNeueLT Std Lt" w:cs="HelveticaNeueLT Std Lt"/>
      <w:color w:val="000000"/>
      <w:sz w:val="24"/>
      <w:szCs w:val="24"/>
      <w:lang w:val="en-GB"/>
    </w:rPr>
  </w:style>
  <w:style w:type="paragraph" w:customStyle="1" w:styleId="CM36">
    <w:name w:val="CM36"/>
    <w:basedOn w:val="Default"/>
    <w:next w:val="Default"/>
    <w:uiPriority w:val="99"/>
    <w:rsid w:val="00A46056"/>
    <w:rPr>
      <w:rFonts w:cstheme="minorBidi"/>
      <w:color w:val="auto"/>
    </w:rPr>
  </w:style>
  <w:style w:type="character" w:customStyle="1" w:styleId="publisheddate2">
    <w:name w:val="publisheddate2"/>
    <w:basedOn w:val="DefaultParagraphFont"/>
    <w:rsid w:val="002579F3"/>
    <w:rPr>
      <w:sz w:val="21"/>
      <w:szCs w:val="21"/>
    </w:rPr>
  </w:style>
  <w:style w:type="character" w:styleId="UnresolvedMention">
    <w:name w:val="Unresolved Mention"/>
    <w:basedOn w:val="DefaultParagraphFont"/>
    <w:uiPriority w:val="99"/>
    <w:semiHidden/>
    <w:unhideWhenUsed/>
    <w:rsid w:val="00411516"/>
    <w:rPr>
      <w:color w:val="605E5C"/>
      <w:shd w:val="clear" w:color="auto" w:fill="E1DFDD"/>
    </w:rPr>
  </w:style>
  <w:style w:type="character" w:customStyle="1" w:styleId="BodyTextChar">
    <w:name w:val="Body Text Char"/>
    <w:basedOn w:val="DefaultParagraphFont"/>
    <w:link w:val="BodyText"/>
    <w:uiPriority w:val="1"/>
    <w:rsid w:val="00AD24EE"/>
    <w:rPr>
      <w:rFonts w:ascii="Arial" w:eastAsia="Arial" w:hAnsi="Arial" w:cs="Arial"/>
      <w:sz w:val="24"/>
      <w:szCs w:val="24"/>
      <w:lang w:val="en-GB" w:eastAsia="en-GB" w:bidi="en-GB"/>
    </w:rPr>
  </w:style>
  <w:style w:type="character" w:customStyle="1" w:styleId="Heading2Char">
    <w:name w:val="Heading 2 Char"/>
    <w:basedOn w:val="DefaultParagraphFont"/>
    <w:link w:val="Heading2"/>
    <w:uiPriority w:val="1"/>
    <w:rsid w:val="007A4F3D"/>
    <w:rPr>
      <w:rFonts w:ascii="Arial" w:eastAsia="Arial" w:hAnsi="Arial" w:cs="Arial"/>
      <w:b/>
      <w:bCs/>
      <w:sz w:val="24"/>
      <w:szCs w:val="24"/>
      <w:lang w:val="en-GB" w:eastAsia="en-GB" w:bidi="en-GB"/>
    </w:rPr>
  </w:style>
  <w:style w:type="paragraph" w:styleId="EndnoteText">
    <w:name w:val="endnote text"/>
    <w:basedOn w:val="Normal"/>
    <w:link w:val="EndnoteTextChar"/>
    <w:uiPriority w:val="99"/>
    <w:semiHidden/>
    <w:unhideWhenUsed/>
    <w:rsid w:val="00F307DE"/>
    <w:rPr>
      <w:sz w:val="20"/>
      <w:szCs w:val="20"/>
    </w:rPr>
  </w:style>
  <w:style w:type="character" w:customStyle="1" w:styleId="EndnoteTextChar">
    <w:name w:val="Endnote Text Char"/>
    <w:basedOn w:val="DefaultParagraphFont"/>
    <w:link w:val="EndnoteText"/>
    <w:uiPriority w:val="99"/>
    <w:semiHidden/>
    <w:rsid w:val="00F307DE"/>
    <w:rPr>
      <w:rFonts w:ascii="Arial" w:eastAsia="Arial" w:hAnsi="Arial" w:cs="Arial"/>
      <w:sz w:val="20"/>
      <w:szCs w:val="20"/>
      <w:lang w:val="en-GB" w:eastAsia="en-GB" w:bidi="en-GB"/>
    </w:rPr>
  </w:style>
  <w:style w:type="character" w:styleId="EndnoteReference">
    <w:name w:val="endnote reference"/>
    <w:basedOn w:val="DefaultParagraphFont"/>
    <w:uiPriority w:val="99"/>
    <w:semiHidden/>
    <w:unhideWhenUsed/>
    <w:rsid w:val="00F307DE"/>
    <w:rPr>
      <w:vertAlign w:val="superscript"/>
    </w:rPr>
  </w:style>
  <w:style w:type="paragraph" w:styleId="TOC4">
    <w:name w:val="toc 4"/>
    <w:basedOn w:val="Normal"/>
    <w:next w:val="Normal"/>
    <w:autoRedefine/>
    <w:uiPriority w:val="39"/>
    <w:unhideWhenUsed/>
    <w:rsid w:val="0055687B"/>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55687B"/>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55687B"/>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55687B"/>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55687B"/>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55687B"/>
    <w:pPr>
      <w:ind w:left="1760"/>
    </w:pPr>
    <w:rPr>
      <w:rFonts w:asciiTheme="minorHAnsi" w:hAnsiTheme="minorHAnsi" w:cstheme="minorHAnsi"/>
      <w:sz w:val="20"/>
      <w:szCs w:val="20"/>
    </w:rPr>
  </w:style>
  <w:style w:type="character" w:styleId="Mention">
    <w:name w:val="Mention"/>
    <w:basedOn w:val="DefaultParagraphFont"/>
    <w:uiPriority w:val="99"/>
    <w:unhideWhenUsed/>
    <w:rsid w:val="00426C8D"/>
    <w:rPr>
      <w:color w:val="2B579A"/>
      <w:shd w:val="clear" w:color="auto" w:fill="E1DFDD"/>
    </w:rPr>
  </w:style>
  <w:style w:type="character" w:customStyle="1" w:styleId="Heading1Char">
    <w:name w:val="Heading 1 Char"/>
    <w:basedOn w:val="DefaultParagraphFont"/>
    <w:link w:val="Heading1"/>
    <w:uiPriority w:val="1"/>
    <w:rsid w:val="00D30FED"/>
    <w:rPr>
      <w:rFonts w:ascii="Arial" w:eastAsia="Arial" w:hAnsi="Arial" w:cs="Arial"/>
      <w:b/>
      <w:bCs/>
      <w:sz w:val="32"/>
      <w:szCs w:val="32"/>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0982">
      <w:bodyDiv w:val="1"/>
      <w:marLeft w:val="0"/>
      <w:marRight w:val="0"/>
      <w:marTop w:val="0"/>
      <w:marBottom w:val="0"/>
      <w:divBdr>
        <w:top w:val="none" w:sz="0" w:space="0" w:color="auto"/>
        <w:left w:val="none" w:sz="0" w:space="0" w:color="auto"/>
        <w:bottom w:val="none" w:sz="0" w:space="0" w:color="auto"/>
        <w:right w:val="none" w:sz="0" w:space="0" w:color="auto"/>
      </w:divBdr>
    </w:div>
    <w:div w:id="32467049">
      <w:bodyDiv w:val="1"/>
      <w:marLeft w:val="0"/>
      <w:marRight w:val="0"/>
      <w:marTop w:val="0"/>
      <w:marBottom w:val="0"/>
      <w:divBdr>
        <w:top w:val="none" w:sz="0" w:space="0" w:color="auto"/>
        <w:left w:val="none" w:sz="0" w:space="0" w:color="auto"/>
        <w:bottom w:val="none" w:sz="0" w:space="0" w:color="auto"/>
        <w:right w:val="none" w:sz="0" w:space="0" w:color="auto"/>
      </w:divBdr>
      <w:divsChild>
        <w:div w:id="839738689">
          <w:marLeft w:val="0"/>
          <w:marRight w:val="0"/>
          <w:marTop w:val="0"/>
          <w:marBottom w:val="0"/>
          <w:divBdr>
            <w:top w:val="none" w:sz="0" w:space="0" w:color="auto"/>
            <w:left w:val="none" w:sz="0" w:space="0" w:color="auto"/>
            <w:bottom w:val="none" w:sz="0" w:space="0" w:color="auto"/>
            <w:right w:val="none" w:sz="0" w:space="0" w:color="auto"/>
          </w:divBdr>
          <w:divsChild>
            <w:div w:id="271783195">
              <w:marLeft w:val="0"/>
              <w:marRight w:val="0"/>
              <w:marTop w:val="0"/>
              <w:marBottom w:val="0"/>
              <w:divBdr>
                <w:top w:val="none" w:sz="0" w:space="0" w:color="auto"/>
                <w:left w:val="none" w:sz="0" w:space="0" w:color="auto"/>
                <w:bottom w:val="none" w:sz="0" w:space="0" w:color="auto"/>
                <w:right w:val="none" w:sz="0" w:space="0" w:color="auto"/>
              </w:divBdr>
              <w:divsChild>
                <w:div w:id="1080254888">
                  <w:marLeft w:val="0"/>
                  <w:marRight w:val="0"/>
                  <w:marTop w:val="0"/>
                  <w:marBottom w:val="0"/>
                  <w:divBdr>
                    <w:top w:val="none" w:sz="0" w:space="0" w:color="auto"/>
                    <w:left w:val="none" w:sz="0" w:space="0" w:color="auto"/>
                    <w:bottom w:val="none" w:sz="0" w:space="0" w:color="auto"/>
                    <w:right w:val="none" w:sz="0" w:space="0" w:color="auto"/>
                  </w:divBdr>
                  <w:divsChild>
                    <w:div w:id="2145200269">
                      <w:marLeft w:val="0"/>
                      <w:marRight w:val="0"/>
                      <w:marTop w:val="0"/>
                      <w:marBottom w:val="0"/>
                      <w:divBdr>
                        <w:top w:val="none" w:sz="0" w:space="0" w:color="auto"/>
                        <w:left w:val="none" w:sz="0" w:space="0" w:color="auto"/>
                        <w:bottom w:val="none" w:sz="0" w:space="0" w:color="auto"/>
                        <w:right w:val="none" w:sz="0" w:space="0" w:color="auto"/>
                      </w:divBdr>
                      <w:divsChild>
                        <w:div w:id="1788700786">
                          <w:marLeft w:val="0"/>
                          <w:marRight w:val="0"/>
                          <w:marTop w:val="0"/>
                          <w:marBottom w:val="180"/>
                          <w:divBdr>
                            <w:top w:val="none" w:sz="0" w:space="0" w:color="auto"/>
                            <w:left w:val="none" w:sz="0" w:space="0" w:color="auto"/>
                            <w:bottom w:val="none" w:sz="0" w:space="0" w:color="auto"/>
                            <w:right w:val="none" w:sz="0" w:space="0" w:color="auto"/>
                          </w:divBdr>
                          <w:divsChild>
                            <w:div w:id="582837908">
                              <w:marLeft w:val="0"/>
                              <w:marRight w:val="0"/>
                              <w:marTop w:val="0"/>
                              <w:marBottom w:val="0"/>
                              <w:divBdr>
                                <w:top w:val="none" w:sz="0" w:space="0" w:color="auto"/>
                                <w:left w:val="none" w:sz="0" w:space="0" w:color="auto"/>
                                <w:bottom w:val="none" w:sz="0" w:space="0" w:color="auto"/>
                                <w:right w:val="none" w:sz="0" w:space="0" w:color="auto"/>
                              </w:divBdr>
                              <w:divsChild>
                                <w:div w:id="421029506">
                                  <w:marLeft w:val="0"/>
                                  <w:marRight w:val="0"/>
                                  <w:marTop w:val="0"/>
                                  <w:marBottom w:val="0"/>
                                  <w:divBdr>
                                    <w:top w:val="none" w:sz="0" w:space="0" w:color="auto"/>
                                    <w:left w:val="none" w:sz="0" w:space="0" w:color="auto"/>
                                    <w:bottom w:val="none" w:sz="0" w:space="0" w:color="auto"/>
                                    <w:right w:val="none" w:sz="0" w:space="0" w:color="auto"/>
                                  </w:divBdr>
                                  <w:divsChild>
                                    <w:div w:id="1922368853">
                                      <w:marLeft w:val="0"/>
                                      <w:marRight w:val="0"/>
                                      <w:marTop w:val="0"/>
                                      <w:marBottom w:val="90"/>
                                      <w:divBdr>
                                        <w:top w:val="none" w:sz="0" w:space="0" w:color="auto"/>
                                        <w:left w:val="none" w:sz="0" w:space="0" w:color="auto"/>
                                        <w:bottom w:val="none" w:sz="0" w:space="0" w:color="auto"/>
                                        <w:right w:val="none" w:sz="0" w:space="0" w:color="auto"/>
                                      </w:divBdr>
                                      <w:divsChild>
                                        <w:div w:id="1857889232">
                                          <w:marLeft w:val="0"/>
                                          <w:marRight w:val="0"/>
                                          <w:marTop w:val="0"/>
                                          <w:marBottom w:val="0"/>
                                          <w:divBdr>
                                            <w:top w:val="none" w:sz="0" w:space="0" w:color="auto"/>
                                            <w:left w:val="none" w:sz="0" w:space="0" w:color="auto"/>
                                            <w:bottom w:val="none" w:sz="0" w:space="0" w:color="auto"/>
                                            <w:right w:val="none" w:sz="0" w:space="0" w:color="auto"/>
                                          </w:divBdr>
                                          <w:divsChild>
                                            <w:div w:id="106968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655565">
      <w:bodyDiv w:val="1"/>
      <w:marLeft w:val="0"/>
      <w:marRight w:val="0"/>
      <w:marTop w:val="0"/>
      <w:marBottom w:val="0"/>
      <w:divBdr>
        <w:top w:val="none" w:sz="0" w:space="0" w:color="auto"/>
        <w:left w:val="none" w:sz="0" w:space="0" w:color="auto"/>
        <w:bottom w:val="none" w:sz="0" w:space="0" w:color="auto"/>
        <w:right w:val="none" w:sz="0" w:space="0" w:color="auto"/>
      </w:divBdr>
    </w:div>
    <w:div w:id="301809549">
      <w:bodyDiv w:val="1"/>
      <w:marLeft w:val="0"/>
      <w:marRight w:val="0"/>
      <w:marTop w:val="0"/>
      <w:marBottom w:val="0"/>
      <w:divBdr>
        <w:top w:val="none" w:sz="0" w:space="0" w:color="auto"/>
        <w:left w:val="none" w:sz="0" w:space="0" w:color="auto"/>
        <w:bottom w:val="none" w:sz="0" w:space="0" w:color="auto"/>
        <w:right w:val="none" w:sz="0" w:space="0" w:color="auto"/>
      </w:divBdr>
    </w:div>
    <w:div w:id="400518923">
      <w:bodyDiv w:val="1"/>
      <w:marLeft w:val="0"/>
      <w:marRight w:val="0"/>
      <w:marTop w:val="0"/>
      <w:marBottom w:val="0"/>
      <w:divBdr>
        <w:top w:val="none" w:sz="0" w:space="0" w:color="auto"/>
        <w:left w:val="none" w:sz="0" w:space="0" w:color="auto"/>
        <w:bottom w:val="none" w:sz="0" w:space="0" w:color="auto"/>
        <w:right w:val="none" w:sz="0" w:space="0" w:color="auto"/>
      </w:divBdr>
    </w:div>
    <w:div w:id="578442932">
      <w:bodyDiv w:val="1"/>
      <w:marLeft w:val="0"/>
      <w:marRight w:val="0"/>
      <w:marTop w:val="0"/>
      <w:marBottom w:val="0"/>
      <w:divBdr>
        <w:top w:val="none" w:sz="0" w:space="0" w:color="auto"/>
        <w:left w:val="none" w:sz="0" w:space="0" w:color="auto"/>
        <w:bottom w:val="none" w:sz="0" w:space="0" w:color="auto"/>
        <w:right w:val="none" w:sz="0" w:space="0" w:color="auto"/>
      </w:divBdr>
    </w:div>
    <w:div w:id="662396825">
      <w:bodyDiv w:val="1"/>
      <w:marLeft w:val="0"/>
      <w:marRight w:val="0"/>
      <w:marTop w:val="0"/>
      <w:marBottom w:val="0"/>
      <w:divBdr>
        <w:top w:val="none" w:sz="0" w:space="0" w:color="auto"/>
        <w:left w:val="none" w:sz="0" w:space="0" w:color="auto"/>
        <w:bottom w:val="none" w:sz="0" w:space="0" w:color="auto"/>
        <w:right w:val="none" w:sz="0" w:space="0" w:color="auto"/>
      </w:divBdr>
    </w:div>
    <w:div w:id="672880239">
      <w:bodyDiv w:val="1"/>
      <w:marLeft w:val="0"/>
      <w:marRight w:val="0"/>
      <w:marTop w:val="0"/>
      <w:marBottom w:val="0"/>
      <w:divBdr>
        <w:top w:val="none" w:sz="0" w:space="0" w:color="auto"/>
        <w:left w:val="none" w:sz="0" w:space="0" w:color="auto"/>
        <w:bottom w:val="none" w:sz="0" w:space="0" w:color="auto"/>
        <w:right w:val="none" w:sz="0" w:space="0" w:color="auto"/>
      </w:divBdr>
    </w:div>
    <w:div w:id="677927847">
      <w:bodyDiv w:val="1"/>
      <w:marLeft w:val="0"/>
      <w:marRight w:val="0"/>
      <w:marTop w:val="0"/>
      <w:marBottom w:val="0"/>
      <w:divBdr>
        <w:top w:val="none" w:sz="0" w:space="0" w:color="auto"/>
        <w:left w:val="none" w:sz="0" w:space="0" w:color="auto"/>
        <w:bottom w:val="none" w:sz="0" w:space="0" w:color="auto"/>
        <w:right w:val="none" w:sz="0" w:space="0" w:color="auto"/>
      </w:divBdr>
    </w:div>
    <w:div w:id="682900302">
      <w:bodyDiv w:val="1"/>
      <w:marLeft w:val="0"/>
      <w:marRight w:val="0"/>
      <w:marTop w:val="0"/>
      <w:marBottom w:val="0"/>
      <w:divBdr>
        <w:top w:val="none" w:sz="0" w:space="0" w:color="auto"/>
        <w:left w:val="none" w:sz="0" w:space="0" w:color="auto"/>
        <w:bottom w:val="none" w:sz="0" w:space="0" w:color="auto"/>
        <w:right w:val="none" w:sz="0" w:space="0" w:color="auto"/>
      </w:divBdr>
      <w:divsChild>
        <w:div w:id="1429234009">
          <w:marLeft w:val="0"/>
          <w:marRight w:val="0"/>
          <w:marTop w:val="0"/>
          <w:marBottom w:val="0"/>
          <w:divBdr>
            <w:top w:val="none" w:sz="0" w:space="0" w:color="auto"/>
            <w:left w:val="none" w:sz="0" w:space="0" w:color="auto"/>
            <w:bottom w:val="none" w:sz="0" w:space="0" w:color="auto"/>
            <w:right w:val="none" w:sz="0" w:space="0" w:color="auto"/>
          </w:divBdr>
          <w:divsChild>
            <w:div w:id="1091513379">
              <w:marLeft w:val="0"/>
              <w:marRight w:val="0"/>
              <w:marTop w:val="0"/>
              <w:marBottom w:val="0"/>
              <w:divBdr>
                <w:top w:val="none" w:sz="0" w:space="0" w:color="auto"/>
                <w:left w:val="none" w:sz="0" w:space="0" w:color="auto"/>
                <w:bottom w:val="none" w:sz="0" w:space="0" w:color="auto"/>
                <w:right w:val="none" w:sz="0" w:space="0" w:color="auto"/>
              </w:divBdr>
              <w:divsChild>
                <w:div w:id="1631323745">
                  <w:marLeft w:val="0"/>
                  <w:marRight w:val="0"/>
                  <w:marTop w:val="0"/>
                  <w:marBottom w:val="0"/>
                  <w:divBdr>
                    <w:top w:val="none" w:sz="0" w:space="0" w:color="auto"/>
                    <w:left w:val="none" w:sz="0" w:space="0" w:color="auto"/>
                    <w:bottom w:val="none" w:sz="0" w:space="0" w:color="auto"/>
                    <w:right w:val="none" w:sz="0" w:space="0" w:color="auto"/>
                  </w:divBdr>
                  <w:divsChild>
                    <w:div w:id="855003051">
                      <w:marLeft w:val="0"/>
                      <w:marRight w:val="0"/>
                      <w:marTop w:val="0"/>
                      <w:marBottom w:val="0"/>
                      <w:divBdr>
                        <w:top w:val="none" w:sz="0" w:space="0" w:color="auto"/>
                        <w:left w:val="none" w:sz="0" w:space="0" w:color="auto"/>
                        <w:bottom w:val="none" w:sz="0" w:space="0" w:color="auto"/>
                        <w:right w:val="none" w:sz="0" w:space="0" w:color="auto"/>
                      </w:divBdr>
                      <w:divsChild>
                        <w:div w:id="1482963676">
                          <w:marLeft w:val="0"/>
                          <w:marRight w:val="0"/>
                          <w:marTop w:val="0"/>
                          <w:marBottom w:val="180"/>
                          <w:divBdr>
                            <w:top w:val="none" w:sz="0" w:space="0" w:color="auto"/>
                            <w:left w:val="none" w:sz="0" w:space="0" w:color="auto"/>
                            <w:bottom w:val="none" w:sz="0" w:space="0" w:color="auto"/>
                            <w:right w:val="none" w:sz="0" w:space="0" w:color="auto"/>
                          </w:divBdr>
                          <w:divsChild>
                            <w:div w:id="2086562776">
                              <w:marLeft w:val="0"/>
                              <w:marRight w:val="0"/>
                              <w:marTop w:val="0"/>
                              <w:marBottom w:val="0"/>
                              <w:divBdr>
                                <w:top w:val="none" w:sz="0" w:space="0" w:color="auto"/>
                                <w:left w:val="none" w:sz="0" w:space="0" w:color="auto"/>
                                <w:bottom w:val="none" w:sz="0" w:space="0" w:color="auto"/>
                                <w:right w:val="none" w:sz="0" w:space="0" w:color="auto"/>
                              </w:divBdr>
                              <w:divsChild>
                                <w:div w:id="43799274">
                                  <w:marLeft w:val="0"/>
                                  <w:marRight w:val="0"/>
                                  <w:marTop w:val="0"/>
                                  <w:marBottom w:val="0"/>
                                  <w:divBdr>
                                    <w:top w:val="none" w:sz="0" w:space="0" w:color="auto"/>
                                    <w:left w:val="none" w:sz="0" w:space="0" w:color="auto"/>
                                    <w:bottom w:val="none" w:sz="0" w:space="0" w:color="auto"/>
                                    <w:right w:val="none" w:sz="0" w:space="0" w:color="auto"/>
                                  </w:divBdr>
                                  <w:divsChild>
                                    <w:div w:id="544636700">
                                      <w:marLeft w:val="0"/>
                                      <w:marRight w:val="0"/>
                                      <w:marTop w:val="0"/>
                                      <w:marBottom w:val="90"/>
                                      <w:divBdr>
                                        <w:top w:val="none" w:sz="0" w:space="0" w:color="auto"/>
                                        <w:left w:val="none" w:sz="0" w:space="0" w:color="auto"/>
                                        <w:bottom w:val="none" w:sz="0" w:space="0" w:color="auto"/>
                                        <w:right w:val="none" w:sz="0" w:space="0" w:color="auto"/>
                                      </w:divBdr>
                                      <w:divsChild>
                                        <w:div w:id="1267688412">
                                          <w:marLeft w:val="0"/>
                                          <w:marRight w:val="0"/>
                                          <w:marTop w:val="0"/>
                                          <w:marBottom w:val="0"/>
                                          <w:divBdr>
                                            <w:top w:val="none" w:sz="0" w:space="0" w:color="auto"/>
                                            <w:left w:val="none" w:sz="0" w:space="0" w:color="auto"/>
                                            <w:bottom w:val="none" w:sz="0" w:space="0" w:color="auto"/>
                                            <w:right w:val="none" w:sz="0" w:space="0" w:color="auto"/>
                                          </w:divBdr>
                                          <w:divsChild>
                                            <w:div w:id="6363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1051221">
      <w:bodyDiv w:val="1"/>
      <w:marLeft w:val="0"/>
      <w:marRight w:val="0"/>
      <w:marTop w:val="0"/>
      <w:marBottom w:val="0"/>
      <w:divBdr>
        <w:top w:val="none" w:sz="0" w:space="0" w:color="auto"/>
        <w:left w:val="none" w:sz="0" w:space="0" w:color="auto"/>
        <w:bottom w:val="none" w:sz="0" w:space="0" w:color="auto"/>
        <w:right w:val="none" w:sz="0" w:space="0" w:color="auto"/>
      </w:divBdr>
    </w:div>
    <w:div w:id="719087683">
      <w:bodyDiv w:val="1"/>
      <w:marLeft w:val="0"/>
      <w:marRight w:val="0"/>
      <w:marTop w:val="0"/>
      <w:marBottom w:val="0"/>
      <w:divBdr>
        <w:top w:val="none" w:sz="0" w:space="0" w:color="auto"/>
        <w:left w:val="none" w:sz="0" w:space="0" w:color="auto"/>
        <w:bottom w:val="none" w:sz="0" w:space="0" w:color="auto"/>
        <w:right w:val="none" w:sz="0" w:space="0" w:color="auto"/>
      </w:divBdr>
    </w:div>
    <w:div w:id="763184665">
      <w:bodyDiv w:val="1"/>
      <w:marLeft w:val="0"/>
      <w:marRight w:val="0"/>
      <w:marTop w:val="0"/>
      <w:marBottom w:val="0"/>
      <w:divBdr>
        <w:top w:val="none" w:sz="0" w:space="0" w:color="auto"/>
        <w:left w:val="none" w:sz="0" w:space="0" w:color="auto"/>
        <w:bottom w:val="none" w:sz="0" w:space="0" w:color="auto"/>
        <w:right w:val="none" w:sz="0" w:space="0" w:color="auto"/>
      </w:divBdr>
    </w:div>
    <w:div w:id="770275665">
      <w:bodyDiv w:val="1"/>
      <w:marLeft w:val="0"/>
      <w:marRight w:val="0"/>
      <w:marTop w:val="0"/>
      <w:marBottom w:val="0"/>
      <w:divBdr>
        <w:top w:val="none" w:sz="0" w:space="0" w:color="auto"/>
        <w:left w:val="none" w:sz="0" w:space="0" w:color="auto"/>
        <w:bottom w:val="none" w:sz="0" w:space="0" w:color="auto"/>
        <w:right w:val="none" w:sz="0" w:space="0" w:color="auto"/>
      </w:divBdr>
    </w:div>
    <w:div w:id="822166124">
      <w:bodyDiv w:val="1"/>
      <w:marLeft w:val="0"/>
      <w:marRight w:val="0"/>
      <w:marTop w:val="0"/>
      <w:marBottom w:val="0"/>
      <w:divBdr>
        <w:top w:val="none" w:sz="0" w:space="0" w:color="auto"/>
        <w:left w:val="none" w:sz="0" w:space="0" w:color="auto"/>
        <w:bottom w:val="none" w:sz="0" w:space="0" w:color="auto"/>
        <w:right w:val="none" w:sz="0" w:space="0" w:color="auto"/>
      </w:divBdr>
    </w:div>
    <w:div w:id="986860392">
      <w:bodyDiv w:val="1"/>
      <w:marLeft w:val="0"/>
      <w:marRight w:val="0"/>
      <w:marTop w:val="0"/>
      <w:marBottom w:val="0"/>
      <w:divBdr>
        <w:top w:val="none" w:sz="0" w:space="0" w:color="auto"/>
        <w:left w:val="none" w:sz="0" w:space="0" w:color="auto"/>
        <w:bottom w:val="none" w:sz="0" w:space="0" w:color="auto"/>
        <w:right w:val="none" w:sz="0" w:space="0" w:color="auto"/>
      </w:divBdr>
      <w:divsChild>
        <w:div w:id="1812399973">
          <w:marLeft w:val="0"/>
          <w:marRight w:val="0"/>
          <w:marTop w:val="0"/>
          <w:marBottom w:val="0"/>
          <w:divBdr>
            <w:top w:val="none" w:sz="0" w:space="0" w:color="auto"/>
            <w:left w:val="none" w:sz="0" w:space="0" w:color="auto"/>
            <w:bottom w:val="none" w:sz="0" w:space="0" w:color="auto"/>
            <w:right w:val="none" w:sz="0" w:space="0" w:color="auto"/>
          </w:divBdr>
          <w:divsChild>
            <w:div w:id="592518712">
              <w:marLeft w:val="0"/>
              <w:marRight w:val="0"/>
              <w:marTop w:val="0"/>
              <w:marBottom w:val="0"/>
              <w:divBdr>
                <w:top w:val="none" w:sz="0" w:space="0" w:color="auto"/>
                <w:left w:val="none" w:sz="0" w:space="0" w:color="auto"/>
                <w:bottom w:val="none" w:sz="0" w:space="0" w:color="auto"/>
                <w:right w:val="none" w:sz="0" w:space="0" w:color="auto"/>
              </w:divBdr>
              <w:divsChild>
                <w:div w:id="747842654">
                  <w:marLeft w:val="0"/>
                  <w:marRight w:val="0"/>
                  <w:marTop w:val="0"/>
                  <w:marBottom w:val="0"/>
                  <w:divBdr>
                    <w:top w:val="none" w:sz="0" w:space="0" w:color="auto"/>
                    <w:left w:val="none" w:sz="0" w:space="0" w:color="auto"/>
                    <w:bottom w:val="none" w:sz="0" w:space="0" w:color="auto"/>
                    <w:right w:val="none" w:sz="0" w:space="0" w:color="auto"/>
                  </w:divBdr>
                  <w:divsChild>
                    <w:div w:id="1495536876">
                      <w:marLeft w:val="0"/>
                      <w:marRight w:val="0"/>
                      <w:marTop w:val="0"/>
                      <w:marBottom w:val="0"/>
                      <w:divBdr>
                        <w:top w:val="none" w:sz="0" w:space="0" w:color="auto"/>
                        <w:left w:val="none" w:sz="0" w:space="0" w:color="auto"/>
                        <w:bottom w:val="none" w:sz="0" w:space="0" w:color="auto"/>
                        <w:right w:val="none" w:sz="0" w:space="0" w:color="auto"/>
                      </w:divBdr>
                      <w:divsChild>
                        <w:div w:id="1350913238">
                          <w:marLeft w:val="0"/>
                          <w:marRight w:val="0"/>
                          <w:marTop w:val="0"/>
                          <w:marBottom w:val="180"/>
                          <w:divBdr>
                            <w:top w:val="none" w:sz="0" w:space="0" w:color="auto"/>
                            <w:left w:val="none" w:sz="0" w:space="0" w:color="auto"/>
                            <w:bottom w:val="none" w:sz="0" w:space="0" w:color="auto"/>
                            <w:right w:val="none" w:sz="0" w:space="0" w:color="auto"/>
                          </w:divBdr>
                          <w:divsChild>
                            <w:div w:id="2010674870">
                              <w:marLeft w:val="0"/>
                              <w:marRight w:val="0"/>
                              <w:marTop w:val="0"/>
                              <w:marBottom w:val="0"/>
                              <w:divBdr>
                                <w:top w:val="none" w:sz="0" w:space="0" w:color="auto"/>
                                <w:left w:val="none" w:sz="0" w:space="0" w:color="auto"/>
                                <w:bottom w:val="none" w:sz="0" w:space="0" w:color="auto"/>
                                <w:right w:val="none" w:sz="0" w:space="0" w:color="auto"/>
                              </w:divBdr>
                              <w:divsChild>
                                <w:div w:id="1174490544">
                                  <w:marLeft w:val="0"/>
                                  <w:marRight w:val="0"/>
                                  <w:marTop w:val="0"/>
                                  <w:marBottom w:val="0"/>
                                  <w:divBdr>
                                    <w:top w:val="none" w:sz="0" w:space="0" w:color="auto"/>
                                    <w:left w:val="none" w:sz="0" w:space="0" w:color="auto"/>
                                    <w:bottom w:val="none" w:sz="0" w:space="0" w:color="auto"/>
                                    <w:right w:val="none" w:sz="0" w:space="0" w:color="auto"/>
                                  </w:divBdr>
                                  <w:divsChild>
                                    <w:div w:id="1125925607">
                                      <w:marLeft w:val="0"/>
                                      <w:marRight w:val="0"/>
                                      <w:marTop w:val="0"/>
                                      <w:marBottom w:val="90"/>
                                      <w:divBdr>
                                        <w:top w:val="none" w:sz="0" w:space="0" w:color="auto"/>
                                        <w:left w:val="none" w:sz="0" w:space="0" w:color="auto"/>
                                        <w:bottom w:val="none" w:sz="0" w:space="0" w:color="auto"/>
                                        <w:right w:val="none" w:sz="0" w:space="0" w:color="auto"/>
                                      </w:divBdr>
                                      <w:divsChild>
                                        <w:div w:id="1833598736">
                                          <w:marLeft w:val="0"/>
                                          <w:marRight w:val="0"/>
                                          <w:marTop w:val="0"/>
                                          <w:marBottom w:val="0"/>
                                          <w:divBdr>
                                            <w:top w:val="none" w:sz="0" w:space="0" w:color="auto"/>
                                            <w:left w:val="none" w:sz="0" w:space="0" w:color="auto"/>
                                            <w:bottom w:val="none" w:sz="0" w:space="0" w:color="auto"/>
                                            <w:right w:val="none" w:sz="0" w:space="0" w:color="auto"/>
                                          </w:divBdr>
                                          <w:divsChild>
                                            <w:div w:id="2660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2824272">
      <w:bodyDiv w:val="1"/>
      <w:marLeft w:val="0"/>
      <w:marRight w:val="0"/>
      <w:marTop w:val="0"/>
      <w:marBottom w:val="0"/>
      <w:divBdr>
        <w:top w:val="none" w:sz="0" w:space="0" w:color="auto"/>
        <w:left w:val="none" w:sz="0" w:space="0" w:color="auto"/>
        <w:bottom w:val="none" w:sz="0" w:space="0" w:color="auto"/>
        <w:right w:val="none" w:sz="0" w:space="0" w:color="auto"/>
      </w:divBdr>
    </w:div>
    <w:div w:id="1160534735">
      <w:bodyDiv w:val="1"/>
      <w:marLeft w:val="0"/>
      <w:marRight w:val="0"/>
      <w:marTop w:val="0"/>
      <w:marBottom w:val="0"/>
      <w:divBdr>
        <w:top w:val="none" w:sz="0" w:space="0" w:color="auto"/>
        <w:left w:val="none" w:sz="0" w:space="0" w:color="auto"/>
        <w:bottom w:val="none" w:sz="0" w:space="0" w:color="auto"/>
        <w:right w:val="none" w:sz="0" w:space="0" w:color="auto"/>
      </w:divBdr>
      <w:divsChild>
        <w:div w:id="69430151">
          <w:marLeft w:val="0"/>
          <w:marRight w:val="0"/>
          <w:marTop w:val="0"/>
          <w:marBottom w:val="0"/>
          <w:divBdr>
            <w:top w:val="none" w:sz="0" w:space="0" w:color="auto"/>
            <w:left w:val="none" w:sz="0" w:space="0" w:color="auto"/>
            <w:bottom w:val="none" w:sz="0" w:space="0" w:color="auto"/>
            <w:right w:val="none" w:sz="0" w:space="0" w:color="auto"/>
          </w:divBdr>
          <w:divsChild>
            <w:div w:id="17313088">
              <w:marLeft w:val="0"/>
              <w:marRight w:val="0"/>
              <w:marTop w:val="0"/>
              <w:marBottom w:val="0"/>
              <w:divBdr>
                <w:top w:val="none" w:sz="0" w:space="0" w:color="auto"/>
                <w:left w:val="none" w:sz="0" w:space="0" w:color="auto"/>
                <w:bottom w:val="none" w:sz="0" w:space="0" w:color="auto"/>
                <w:right w:val="none" w:sz="0" w:space="0" w:color="auto"/>
              </w:divBdr>
              <w:divsChild>
                <w:div w:id="1135876024">
                  <w:marLeft w:val="0"/>
                  <w:marRight w:val="0"/>
                  <w:marTop w:val="0"/>
                  <w:marBottom w:val="0"/>
                  <w:divBdr>
                    <w:top w:val="none" w:sz="0" w:space="0" w:color="auto"/>
                    <w:left w:val="none" w:sz="0" w:space="0" w:color="auto"/>
                    <w:bottom w:val="none" w:sz="0" w:space="0" w:color="auto"/>
                    <w:right w:val="none" w:sz="0" w:space="0" w:color="auto"/>
                  </w:divBdr>
                  <w:divsChild>
                    <w:div w:id="1524048073">
                      <w:marLeft w:val="0"/>
                      <w:marRight w:val="0"/>
                      <w:marTop w:val="0"/>
                      <w:marBottom w:val="0"/>
                      <w:divBdr>
                        <w:top w:val="none" w:sz="0" w:space="0" w:color="auto"/>
                        <w:left w:val="none" w:sz="0" w:space="0" w:color="auto"/>
                        <w:bottom w:val="none" w:sz="0" w:space="0" w:color="auto"/>
                        <w:right w:val="none" w:sz="0" w:space="0" w:color="auto"/>
                      </w:divBdr>
                      <w:divsChild>
                        <w:div w:id="1743135222">
                          <w:marLeft w:val="0"/>
                          <w:marRight w:val="0"/>
                          <w:marTop w:val="0"/>
                          <w:marBottom w:val="180"/>
                          <w:divBdr>
                            <w:top w:val="none" w:sz="0" w:space="0" w:color="auto"/>
                            <w:left w:val="none" w:sz="0" w:space="0" w:color="auto"/>
                            <w:bottom w:val="none" w:sz="0" w:space="0" w:color="auto"/>
                            <w:right w:val="none" w:sz="0" w:space="0" w:color="auto"/>
                          </w:divBdr>
                          <w:divsChild>
                            <w:div w:id="1476291464">
                              <w:marLeft w:val="0"/>
                              <w:marRight w:val="0"/>
                              <w:marTop w:val="0"/>
                              <w:marBottom w:val="0"/>
                              <w:divBdr>
                                <w:top w:val="none" w:sz="0" w:space="0" w:color="auto"/>
                                <w:left w:val="none" w:sz="0" w:space="0" w:color="auto"/>
                                <w:bottom w:val="none" w:sz="0" w:space="0" w:color="auto"/>
                                <w:right w:val="none" w:sz="0" w:space="0" w:color="auto"/>
                              </w:divBdr>
                              <w:divsChild>
                                <w:div w:id="2052226122">
                                  <w:marLeft w:val="0"/>
                                  <w:marRight w:val="0"/>
                                  <w:marTop w:val="0"/>
                                  <w:marBottom w:val="0"/>
                                  <w:divBdr>
                                    <w:top w:val="none" w:sz="0" w:space="0" w:color="auto"/>
                                    <w:left w:val="none" w:sz="0" w:space="0" w:color="auto"/>
                                    <w:bottom w:val="none" w:sz="0" w:space="0" w:color="auto"/>
                                    <w:right w:val="none" w:sz="0" w:space="0" w:color="auto"/>
                                  </w:divBdr>
                                  <w:divsChild>
                                    <w:div w:id="175003990">
                                      <w:marLeft w:val="0"/>
                                      <w:marRight w:val="0"/>
                                      <w:marTop w:val="0"/>
                                      <w:marBottom w:val="90"/>
                                      <w:divBdr>
                                        <w:top w:val="none" w:sz="0" w:space="0" w:color="auto"/>
                                        <w:left w:val="none" w:sz="0" w:space="0" w:color="auto"/>
                                        <w:bottom w:val="none" w:sz="0" w:space="0" w:color="auto"/>
                                        <w:right w:val="none" w:sz="0" w:space="0" w:color="auto"/>
                                      </w:divBdr>
                                      <w:divsChild>
                                        <w:div w:id="1552499250">
                                          <w:marLeft w:val="0"/>
                                          <w:marRight w:val="0"/>
                                          <w:marTop w:val="0"/>
                                          <w:marBottom w:val="0"/>
                                          <w:divBdr>
                                            <w:top w:val="none" w:sz="0" w:space="0" w:color="auto"/>
                                            <w:left w:val="none" w:sz="0" w:space="0" w:color="auto"/>
                                            <w:bottom w:val="none" w:sz="0" w:space="0" w:color="auto"/>
                                            <w:right w:val="none" w:sz="0" w:space="0" w:color="auto"/>
                                          </w:divBdr>
                                          <w:divsChild>
                                            <w:div w:id="1668242928">
                                              <w:marLeft w:val="0"/>
                                              <w:marRight w:val="0"/>
                                              <w:marTop w:val="0"/>
                                              <w:marBottom w:val="0"/>
                                              <w:divBdr>
                                                <w:top w:val="none" w:sz="0" w:space="0" w:color="auto"/>
                                                <w:left w:val="none" w:sz="0" w:space="0" w:color="auto"/>
                                                <w:bottom w:val="none" w:sz="0" w:space="0" w:color="auto"/>
                                                <w:right w:val="none" w:sz="0" w:space="0" w:color="auto"/>
                                              </w:divBdr>
                                              <w:divsChild>
                                                <w:div w:id="1960912347">
                                                  <w:marLeft w:val="0"/>
                                                  <w:marRight w:val="0"/>
                                                  <w:marTop w:val="0"/>
                                                  <w:marBottom w:val="0"/>
                                                  <w:divBdr>
                                                    <w:top w:val="none" w:sz="0" w:space="0" w:color="auto"/>
                                                    <w:left w:val="none" w:sz="0" w:space="0" w:color="auto"/>
                                                    <w:bottom w:val="none" w:sz="0" w:space="0" w:color="auto"/>
                                                    <w:right w:val="none" w:sz="0" w:space="0" w:color="auto"/>
                                                  </w:divBdr>
                                                </w:div>
                                              </w:divsChild>
                                            </w:div>
                                            <w:div w:id="173712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99262">
                                      <w:marLeft w:val="0"/>
                                      <w:marRight w:val="0"/>
                                      <w:marTop w:val="0"/>
                                      <w:marBottom w:val="90"/>
                                      <w:divBdr>
                                        <w:top w:val="none" w:sz="0" w:space="0" w:color="auto"/>
                                        <w:left w:val="none" w:sz="0" w:space="0" w:color="auto"/>
                                        <w:bottom w:val="none" w:sz="0" w:space="0" w:color="auto"/>
                                        <w:right w:val="none" w:sz="0" w:space="0" w:color="auto"/>
                                      </w:divBdr>
                                      <w:divsChild>
                                        <w:div w:id="1458376896">
                                          <w:marLeft w:val="0"/>
                                          <w:marRight w:val="0"/>
                                          <w:marTop w:val="0"/>
                                          <w:marBottom w:val="0"/>
                                          <w:divBdr>
                                            <w:top w:val="none" w:sz="0" w:space="0" w:color="auto"/>
                                            <w:left w:val="none" w:sz="0" w:space="0" w:color="auto"/>
                                            <w:bottom w:val="none" w:sz="0" w:space="0" w:color="auto"/>
                                            <w:right w:val="none" w:sz="0" w:space="0" w:color="auto"/>
                                          </w:divBdr>
                                          <w:divsChild>
                                            <w:div w:id="102867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67361">
                                      <w:marLeft w:val="0"/>
                                      <w:marRight w:val="0"/>
                                      <w:marTop w:val="0"/>
                                      <w:marBottom w:val="90"/>
                                      <w:divBdr>
                                        <w:top w:val="none" w:sz="0" w:space="0" w:color="auto"/>
                                        <w:left w:val="none" w:sz="0" w:space="0" w:color="auto"/>
                                        <w:bottom w:val="none" w:sz="0" w:space="0" w:color="auto"/>
                                        <w:right w:val="none" w:sz="0" w:space="0" w:color="auto"/>
                                      </w:divBdr>
                                      <w:divsChild>
                                        <w:div w:id="36009708">
                                          <w:marLeft w:val="0"/>
                                          <w:marRight w:val="0"/>
                                          <w:marTop w:val="0"/>
                                          <w:marBottom w:val="0"/>
                                          <w:divBdr>
                                            <w:top w:val="none" w:sz="0" w:space="0" w:color="auto"/>
                                            <w:left w:val="none" w:sz="0" w:space="0" w:color="auto"/>
                                            <w:bottom w:val="none" w:sz="0" w:space="0" w:color="auto"/>
                                            <w:right w:val="none" w:sz="0" w:space="0" w:color="auto"/>
                                          </w:divBdr>
                                          <w:divsChild>
                                            <w:div w:id="1091197071">
                                              <w:marLeft w:val="0"/>
                                              <w:marRight w:val="0"/>
                                              <w:marTop w:val="0"/>
                                              <w:marBottom w:val="0"/>
                                              <w:divBdr>
                                                <w:top w:val="none" w:sz="0" w:space="0" w:color="auto"/>
                                                <w:left w:val="none" w:sz="0" w:space="0" w:color="auto"/>
                                                <w:bottom w:val="none" w:sz="0" w:space="0" w:color="auto"/>
                                                <w:right w:val="none" w:sz="0" w:space="0" w:color="auto"/>
                                              </w:divBdr>
                                              <w:divsChild>
                                                <w:div w:id="828982208">
                                                  <w:marLeft w:val="0"/>
                                                  <w:marRight w:val="0"/>
                                                  <w:marTop w:val="0"/>
                                                  <w:marBottom w:val="0"/>
                                                  <w:divBdr>
                                                    <w:top w:val="none" w:sz="0" w:space="0" w:color="auto"/>
                                                    <w:left w:val="none" w:sz="0" w:space="0" w:color="auto"/>
                                                    <w:bottom w:val="none" w:sz="0" w:space="0" w:color="auto"/>
                                                    <w:right w:val="none" w:sz="0" w:space="0" w:color="auto"/>
                                                  </w:divBdr>
                                                </w:div>
                                              </w:divsChild>
                                            </w:div>
                                            <w:div w:id="148859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754903">
                                      <w:marLeft w:val="0"/>
                                      <w:marRight w:val="0"/>
                                      <w:marTop w:val="0"/>
                                      <w:marBottom w:val="90"/>
                                      <w:divBdr>
                                        <w:top w:val="none" w:sz="0" w:space="0" w:color="auto"/>
                                        <w:left w:val="none" w:sz="0" w:space="0" w:color="auto"/>
                                        <w:bottom w:val="none" w:sz="0" w:space="0" w:color="auto"/>
                                        <w:right w:val="none" w:sz="0" w:space="0" w:color="auto"/>
                                      </w:divBdr>
                                      <w:divsChild>
                                        <w:div w:id="539361467">
                                          <w:marLeft w:val="0"/>
                                          <w:marRight w:val="0"/>
                                          <w:marTop w:val="0"/>
                                          <w:marBottom w:val="0"/>
                                          <w:divBdr>
                                            <w:top w:val="none" w:sz="0" w:space="0" w:color="auto"/>
                                            <w:left w:val="none" w:sz="0" w:space="0" w:color="auto"/>
                                            <w:bottom w:val="none" w:sz="0" w:space="0" w:color="auto"/>
                                            <w:right w:val="none" w:sz="0" w:space="0" w:color="auto"/>
                                          </w:divBdr>
                                          <w:divsChild>
                                            <w:div w:id="1508061471">
                                              <w:marLeft w:val="0"/>
                                              <w:marRight w:val="0"/>
                                              <w:marTop w:val="0"/>
                                              <w:marBottom w:val="0"/>
                                              <w:divBdr>
                                                <w:top w:val="none" w:sz="0" w:space="0" w:color="auto"/>
                                                <w:left w:val="none" w:sz="0" w:space="0" w:color="auto"/>
                                                <w:bottom w:val="none" w:sz="0" w:space="0" w:color="auto"/>
                                                <w:right w:val="none" w:sz="0" w:space="0" w:color="auto"/>
                                              </w:divBdr>
                                            </w:div>
                                            <w:div w:id="1894845735">
                                              <w:marLeft w:val="0"/>
                                              <w:marRight w:val="0"/>
                                              <w:marTop w:val="0"/>
                                              <w:marBottom w:val="0"/>
                                              <w:divBdr>
                                                <w:top w:val="none" w:sz="0" w:space="0" w:color="auto"/>
                                                <w:left w:val="none" w:sz="0" w:space="0" w:color="auto"/>
                                                <w:bottom w:val="none" w:sz="0" w:space="0" w:color="auto"/>
                                                <w:right w:val="none" w:sz="0" w:space="0" w:color="auto"/>
                                              </w:divBdr>
                                              <w:divsChild>
                                                <w:div w:id="67993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1318935">
      <w:bodyDiv w:val="1"/>
      <w:marLeft w:val="0"/>
      <w:marRight w:val="0"/>
      <w:marTop w:val="0"/>
      <w:marBottom w:val="0"/>
      <w:divBdr>
        <w:top w:val="none" w:sz="0" w:space="0" w:color="auto"/>
        <w:left w:val="none" w:sz="0" w:space="0" w:color="auto"/>
        <w:bottom w:val="none" w:sz="0" w:space="0" w:color="auto"/>
        <w:right w:val="none" w:sz="0" w:space="0" w:color="auto"/>
      </w:divBdr>
    </w:div>
    <w:div w:id="1375542997">
      <w:bodyDiv w:val="1"/>
      <w:marLeft w:val="0"/>
      <w:marRight w:val="0"/>
      <w:marTop w:val="0"/>
      <w:marBottom w:val="0"/>
      <w:divBdr>
        <w:top w:val="none" w:sz="0" w:space="0" w:color="auto"/>
        <w:left w:val="none" w:sz="0" w:space="0" w:color="auto"/>
        <w:bottom w:val="none" w:sz="0" w:space="0" w:color="auto"/>
        <w:right w:val="none" w:sz="0" w:space="0" w:color="auto"/>
      </w:divBdr>
    </w:div>
    <w:div w:id="1544512556">
      <w:bodyDiv w:val="1"/>
      <w:marLeft w:val="0"/>
      <w:marRight w:val="0"/>
      <w:marTop w:val="0"/>
      <w:marBottom w:val="0"/>
      <w:divBdr>
        <w:top w:val="none" w:sz="0" w:space="0" w:color="auto"/>
        <w:left w:val="none" w:sz="0" w:space="0" w:color="auto"/>
        <w:bottom w:val="none" w:sz="0" w:space="0" w:color="auto"/>
        <w:right w:val="none" w:sz="0" w:space="0" w:color="auto"/>
      </w:divBdr>
      <w:divsChild>
        <w:div w:id="1481724229">
          <w:marLeft w:val="0"/>
          <w:marRight w:val="0"/>
          <w:marTop w:val="0"/>
          <w:marBottom w:val="0"/>
          <w:divBdr>
            <w:top w:val="none" w:sz="0" w:space="0" w:color="auto"/>
            <w:left w:val="none" w:sz="0" w:space="0" w:color="auto"/>
            <w:bottom w:val="none" w:sz="0" w:space="0" w:color="auto"/>
            <w:right w:val="none" w:sz="0" w:space="0" w:color="auto"/>
          </w:divBdr>
        </w:div>
      </w:divsChild>
    </w:div>
    <w:div w:id="1567255671">
      <w:bodyDiv w:val="1"/>
      <w:marLeft w:val="0"/>
      <w:marRight w:val="0"/>
      <w:marTop w:val="0"/>
      <w:marBottom w:val="0"/>
      <w:divBdr>
        <w:top w:val="none" w:sz="0" w:space="0" w:color="auto"/>
        <w:left w:val="none" w:sz="0" w:space="0" w:color="auto"/>
        <w:bottom w:val="none" w:sz="0" w:space="0" w:color="auto"/>
        <w:right w:val="none" w:sz="0" w:space="0" w:color="auto"/>
      </w:divBdr>
    </w:div>
    <w:div w:id="1593003616">
      <w:bodyDiv w:val="1"/>
      <w:marLeft w:val="0"/>
      <w:marRight w:val="0"/>
      <w:marTop w:val="0"/>
      <w:marBottom w:val="0"/>
      <w:divBdr>
        <w:top w:val="none" w:sz="0" w:space="0" w:color="auto"/>
        <w:left w:val="none" w:sz="0" w:space="0" w:color="auto"/>
        <w:bottom w:val="none" w:sz="0" w:space="0" w:color="auto"/>
        <w:right w:val="none" w:sz="0" w:space="0" w:color="auto"/>
      </w:divBdr>
    </w:div>
    <w:div w:id="1615282978">
      <w:bodyDiv w:val="1"/>
      <w:marLeft w:val="0"/>
      <w:marRight w:val="0"/>
      <w:marTop w:val="0"/>
      <w:marBottom w:val="0"/>
      <w:divBdr>
        <w:top w:val="none" w:sz="0" w:space="0" w:color="auto"/>
        <w:left w:val="none" w:sz="0" w:space="0" w:color="auto"/>
        <w:bottom w:val="none" w:sz="0" w:space="0" w:color="auto"/>
        <w:right w:val="none" w:sz="0" w:space="0" w:color="auto"/>
      </w:divBdr>
    </w:div>
    <w:div w:id="1631741044">
      <w:bodyDiv w:val="1"/>
      <w:marLeft w:val="0"/>
      <w:marRight w:val="0"/>
      <w:marTop w:val="0"/>
      <w:marBottom w:val="0"/>
      <w:divBdr>
        <w:top w:val="none" w:sz="0" w:space="0" w:color="auto"/>
        <w:left w:val="none" w:sz="0" w:space="0" w:color="auto"/>
        <w:bottom w:val="none" w:sz="0" w:space="0" w:color="auto"/>
        <w:right w:val="none" w:sz="0" w:space="0" w:color="auto"/>
      </w:divBdr>
      <w:divsChild>
        <w:div w:id="736636703">
          <w:marLeft w:val="0"/>
          <w:marRight w:val="0"/>
          <w:marTop w:val="0"/>
          <w:marBottom w:val="0"/>
          <w:divBdr>
            <w:top w:val="none" w:sz="0" w:space="0" w:color="auto"/>
            <w:left w:val="none" w:sz="0" w:space="0" w:color="auto"/>
            <w:bottom w:val="none" w:sz="0" w:space="0" w:color="auto"/>
            <w:right w:val="none" w:sz="0" w:space="0" w:color="auto"/>
          </w:divBdr>
          <w:divsChild>
            <w:div w:id="1343121580">
              <w:marLeft w:val="0"/>
              <w:marRight w:val="0"/>
              <w:marTop w:val="0"/>
              <w:marBottom w:val="0"/>
              <w:divBdr>
                <w:top w:val="none" w:sz="0" w:space="0" w:color="auto"/>
                <w:left w:val="none" w:sz="0" w:space="0" w:color="auto"/>
                <w:bottom w:val="none" w:sz="0" w:space="0" w:color="auto"/>
                <w:right w:val="none" w:sz="0" w:space="0" w:color="auto"/>
              </w:divBdr>
              <w:divsChild>
                <w:div w:id="1384870809">
                  <w:marLeft w:val="0"/>
                  <w:marRight w:val="0"/>
                  <w:marTop w:val="0"/>
                  <w:marBottom w:val="0"/>
                  <w:divBdr>
                    <w:top w:val="none" w:sz="0" w:space="0" w:color="auto"/>
                    <w:left w:val="none" w:sz="0" w:space="0" w:color="auto"/>
                    <w:bottom w:val="none" w:sz="0" w:space="0" w:color="auto"/>
                    <w:right w:val="none" w:sz="0" w:space="0" w:color="auto"/>
                  </w:divBdr>
                  <w:divsChild>
                    <w:div w:id="1142037978">
                      <w:marLeft w:val="0"/>
                      <w:marRight w:val="0"/>
                      <w:marTop w:val="0"/>
                      <w:marBottom w:val="0"/>
                      <w:divBdr>
                        <w:top w:val="none" w:sz="0" w:space="0" w:color="auto"/>
                        <w:left w:val="none" w:sz="0" w:space="0" w:color="auto"/>
                        <w:bottom w:val="none" w:sz="0" w:space="0" w:color="auto"/>
                        <w:right w:val="none" w:sz="0" w:space="0" w:color="auto"/>
                      </w:divBdr>
                      <w:divsChild>
                        <w:div w:id="823087485">
                          <w:marLeft w:val="0"/>
                          <w:marRight w:val="0"/>
                          <w:marTop w:val="0"/>
                          <w:marBottom w:val="180"/>
                          <w:divBdr>
                            <w:top w:val="none" w:sz="0" w:space="0" w:color="auto"/>
                            <w:left w:val="none" w:sz="0" w:space="0" w:color="auto"/>
                            <w:bottom w:val="none" w:sz="0" w:space="0" w:color="auto"/>
                            <w:right w:val="none" w:sz="0" w:space="0" w:color="auto"/>
                          </w:divBdr>
                          <w:divsChild>
                            <w:div w:id="612515108">
                              <w:marLeft w:val="0"/>
                              <w:marRight w:val="0"/>
                              <w:marTop w:val="0"/>
                              <w:marBottom w:val="0"/>
                              <w:divBdr>
                                <w:top w:val="none" w:sz="0" w:space="0" w:color="auto"/>
                                <w:left w:val="none" w:sz="0" w:space="0" w:color="auto"/>
                                <w:bottom w:val="none" w:sz="0" w:space="0" w:color="auto"/>
                                <w:right w:val="none" w:sz="0" w:space="0" w:color="auto"/>
                              </w:divBdr>
                              <w:divsChild>
                                <w:div w:id="1186136185">
                                  <w:marLeft w:val="0"/>
                                  <w:marRight w:val="0"/>
                                  <w:marTop w:val="0"/>
                                  <w:marBottom w:val="0"/>
                                  <w:divBdr>
                                    <w:top w:val="none" w:sz="0" w:space="0" w:color="auto"/>
                                    <w:left w:val="none" w:sz="0" w:space="0" w:color="auto"/>
                                    <w:bottom w:val="none" w:sz="0" w:space="0" w:color="auto"/>
                                    <w:right w:val="none" w:sz="0" w:space="0" w:color="auto"/>
                                  </w:divBdr>
                                  <w:divsChild>
                                    <w:div w:id="959842186">
                                      <w:marLeft w:val="0"/>
                                      <w:marRight w:val="0"/>
                                      <w:marTop w:val="0"/>
                                      <w:marBottom w:val="90"/>
                                      <w:divBdr>
                                        <w:top w:val="none" w:sz="0" w:space="0" w:color="auto"/>
                                        <w:left w:val="none" w:sz="0" w:space="0" w:color="auto"/>
                                        <w:bottom w:val="none" w:sz="0" w:space="0" w:color="auto"/>
                                        <w:right w:val="none" w:sz="0" w:space="0" w:color="auto"/>
                                      </w:divBdr>
                                      <w:divsChild>
                                        <w:div w:id="1737703820">
                                          <w:marLeft w:val="0"/>
                                          <w:marRight w:val="0"/>
                                          <w:marTop w:val="0"/>
                                          <w:marBottom w:val="0"/>
                                          <w:divBdr>
                                            <w:top w:val="none" w:sz="0" w:space="0" w:color="auto"/>
                                            <w:left w:val="none" w:sz="0" w:space="0" w:color="auto"/>
                                            <w:bottom w:val="none" w:sz="0" w:space="0" w:color="auto"/>
                                            <w:right w:val="none" w:sz="0" w:space="0" w:color="auto"/>
                                          </w:divBdr>
                                          <w:divsChild>
                                            <w:div w:id="21459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8475508">
      <w:bodyDiv w:val="1"/>
      <w:marLeft w:val="0"/>
      <w:marRight w:val="0"/>
      <w:marTop w:val="0"/>
      <w:marBottom w:val="0"/>
      <w:divBdr>
        <w:top w:val="none" w:sz="0" w:space="0" w:color="auto"/>
        <w:left w:val="none" w:sz="0" w:space="0" w:color="auto"/>
        <w:bottom w:val="none" w:sz="0" w:space="0" w:color="auto"/>
        <w:right w:val="none" w:sz="0" w:space="0" w:color="auto"/>
      </w:divBdr>
    </w:div>
    <w:div w:id="1951935638">
      <w:bodyDiv w:val="1"/>
      <w:marLeft w:val="0"/>
      <w:marRight w:val="0"/>
      <w:marTop w:val="0"/>
      <w:marBottom w:val="0"/>
      <w:divBdr>
        <w:top w:val="none" w:sz="0" w:space="0" w:color="auto"/>
        <w:left w:val="none" w:sz="0" w:space="0" w:color="auto"/>
        <w:bottom w:val="none" w:sz="0" w:space="0" w:color="auto"/>
        <w:right w:val="none" w:sz="0" w:space="0" w:color="auto"/>
      </w:divBdr>
    </w:div>
    <w:div w:id="1960181830">
      <w:bodyDiv w:val="1"/>
      <w:marLeft w:val="0"/>
      <w:marRight w:val="0"/>
      <w:marTop w:val="0"/>
      <w:marBottom w:val="0"/>
      <w:divBdr>
        <w:top w:val="none" w:sz="0" w:space="0" w:color="auto"/>
        <w:left w:val="none" w:sz="0" w:space="0" w:color="auto"/>
        <w:bottom w:val="none" w:sz="0" w:space="0" w:color="auto"/>
        <w:right w:val="none" w:sz="0" w:space="0" w:color="auto"/>
      </w:divBdr>
    </w:div>
    <w:div w:id="2079086832">
      <w:bodyDiv w:val="1"/>
      <w:marLeft w:val="0"/>
      <w:marRight w:val="0"/>
      <w:marTop w:val="0"/>
      <w:marBottom w:val="0"/>
      <w:divBdr>
        <w:top w:val="none" w:sz="0" w:space="0" w:color="auto"/>
        <w:left w:val="none" w:sz="0" w:space="0" w:color="auto"/>
        <w:bottom w:val="none" w:sz="0" w:space="0" w:color="auto"/>
        <w:right w:val="none" w:sz="0" w:space="0" w:color="auto"/>
      </w:divBdr>
    </w:div>
    <w:div w:id="2107654102">
      <w:bodyDiv w:val="1"/>
      <w:marLeft w:val="0"/>
      <w:marRight w:val="0"/>
      <w:marTop w:val="0"/>
      <w:marBottom w:val="0"/>
      <w:divBdr>
        <w:top w:val="none" w:sz="0" w:space="0" w:color="auto"/>
        <w:left w:val="none" w:sz="0" w:space="0" w:color="auto"/>
        <w:bottom w:val="none" w:sz="0" w:space="0" w:color="auto"/>
        <w:right w:val="none" w:sz="0" w:space="0" w:color="auto"/>
      </w:divBdr>
    </w:div>
    <w:div w:id="213752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nowsleyknowledge.org.uk" TargetMode="External"/><Relationship Id="rId18" Type="http://schemas.openxmlformats.org/officeDocument/2006/relationships/hyperlink" Target="https://www.nice.org.uk/guidance/qs30" TargetMode="External"/><Relationship Id="rId26" Type="http://schemas.openxmlformats.org/officeDocument/2006/relationships/chart" Target="charts/chart6.xml"/><Relationship Id="rId39" Type="http://schemas.openxmlformats.org/officeDocument/2006/relationships/hyperlink" Target="https://www.alzheimers.org.uk/about-dementia/managing-the-risk-of-dementia/risk-factors-for-dementia" TargetMode="External"/><Relationship Id="rId3" Type="http://schemas.openxmlformats.org/officeDocument/2006/relationships/customXml" Target="../customXml/item3.xml"/><Relationship Id="rId21" Type="http://schemas.openxmlformats.org/officeDocument/2006/relationships/chart" Target="charts/chart2.xml"/><Relationship Id="rId34" Type="http://schemas.openxmlformats.org/officeDocument/2006/relationships/hyperlink" Target="https://www.alzheimers.org.uk/about-us/policy-and-influencing/dementia-scale-impact-numbers" TargetMode="External"/><Relationship Id="rId42" Type="http://schemas.openxmlformats.org/officeDocument/2006/relationships/hyperlink" Target="https://digital.nhs.uk/data-and-information/publications/statistical/primary-care-dementia-data/february-2026" TargetMode="External"/><Relationship Id="rId47" Type="http://schemas.openxmlformats.org/officeDocument/2006/relationships/hyperlink" Target="https://www.alzheimersresearchuk.org/news/what-does-the-nhs-10-year-plan-mean-for-dementia/" TargetMode="Externa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nice.org.uk/guidance/ng97" TargetMode="External"/><Relationship Id="rId25" Type="http://schemas.openxmlformats.org/officeDocument/2006/relationships/chart" Target="charts/chart5.xml"/><Relationship Id="rId33" Type="http://schemas.openxmlformats.org/officeDocument/2006/relationships/hyperlink" Target="https://knowsleycouncil-my.sharepoint.com/personal/matthew_grace_knowsley_gov_uk/Documents/Dementia/www.nomisweb.co.uk" TargetMode="External"/><Relationship Id="rId38" Type="http://schemas.openxmlformats.org/officeDocument/2006/relationships/hyperlink" Target="https://assets.publishing.service.gov.uk/media/5a7a03e040f0b66a2fbff464/EOLC_exec_summ.pdf" TargetMode="External"/><Relationship Id="rId46" Type="http://schemas.openxmlformats.org/officeDocument/2006/relationships/hyperlink" Target="https://www.england.nhs.uk/north-west/wp-content/uploads/sites/48/2024/11/Palliative-Care-Guidelines-in-Dementia-3rd-ed-Nov-2024-PDF-VERSION-1.pdf" TargetMode="External"/><Relationship Id="rId2" Type="http://schemas.openxmlformats.org/officeDocument/2006/relationships/customXml" Target="../customXml/item2.xml"/><Relationship Id="rId16" Type="http://schemas.openxmlformats.org/officeDocument/2006/relationships/hyperlink" Target="http://www.alzheimersresearchuk.org/about-us/policies-reports/women-and-dementia/" TargetMode="External"/><Relationship Id="rId20" Type="http://schemas.openxmlformats.org/officeDocument/2006/relationships/chart" Target="charts/chart1.xml"/><Relationship Id="rId29" Type="http://schemas.openxmlformats.org/officeDocument/2006/relationships/chart" Target="charts/chart8.xml"/><Relationship Id="rId41" Type="http://schemas.openxmlformats.org/officeDocument/2006/relationships/hyperlink" Target="https://www.poppi.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nationalarchives.gov.uk/doc/open-government-licence/version/3/" TargetMode="External"/><Relationship Id="rId32" Type="http://schemas.openxmlformats.org/officeDocument/2006/relationships/hyperlink" Target="https://www.alzheimersresearchuk.org/news/dementia-leading-cause-of-death-in-2022/" TargetMode="External"/><Relationship Id="rId37" Type="http://schemas.openxmlformats.org/officeDocument/2006/relationships/hyperlink" Target="https://www.carersuk.org/media/xgwlj0gn/soc23-health-report_web.pdf" TargetMode="External"/><Relationship Id="rId40" Type="http://schemas.openxmlformats.org/officeDocument/2006/relationships/hyperlink" Target="https://dementiastatistics.org/about-dementia/prevalence-and-incidence/" TargetMode="External"/><Relationship Id="rId45" Type="http://schemas.openxmlformats.org/officeDocument/2006/relationships/hyperlink" Target="https://www.aop.org.uk/ot/professional-support/clinical-and-regulatory/2024/08/06/untreated-vision-loss-and-high-cholesterol-added-as-modifiable-risk-factors-for-dementia" TargetMode="External"/><Relationship Id="rId5" Type="http://schemas.openxmlformats.org/officeDocument/2006/relationships/numbering" Target="numbering.xml"/><Relationship Id="rId15" Type="http://schemas.openxmlformats.org/officeDocument/2006/relationships/hyperlink" Target="https://www.alzheimers.org.uk/site/scripts/documents.php?categoryID=200363" TargetMode="External"/><Relationship Id="rId23" Type="http://schemas.openxmlformats.org/officeDocument/2006/relationships/chart" Target="charts/chart4.xml"/><Relationship Id="rId28" Type="http://schemas.openxmlformats.org/officeDocument/2006/relationships/hyperlink" Target="https://www.alzheimers.org.uk/get-support/daily-living" TargetMode="External"/><Relationship Id="rId36" Type="http://schemas.openxmlformats.org/officeDocument/2006/relationships/hyperlink" Target="https://www.alzheimers.org.uk/about-dementia/types-dementia/young-onset-dementia"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ice.org.uk/guidance/ng16" TargetMode="External"/><Relationship Id="rId31" Type="http://schemas.openxmlformats.org/officeDocument/2006/relationships/hyperlink" Target="https://www.alzheimers.org.uk/blog/how-many-people-have-dementia-uk" TargetMode="External"/><Relationship Id="rId44" Type="http://schemas.openxmlformats.org/officeDocument/2006/relationships/hyperlink" Target="https://www.cqc.org.uk/about-us/transparency/using-cqc-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nowsleyknowledge.org.uk/2022-jsna/" TargetMode="External"/><Relationship Id="rId22" Type="http://schemas.openxmlformats.org/officeDocument/2006/relationships/chart" Target="charts/chart3.xml"/><Relationship Id="rId27" Type="http://schemas.openxmlformats.org/officeDocument/2006/relationships/chart" Target="charts/chart7.xml"/><Relationship Id="rId30" Type="http://schemas.openxmlformats.org/officeDocument/2006/relationships/chart" Target="charts/chart9.xml"/><Relationship Id="rId35" Type="http://schemas.openxmlformats.org/officeDocument/2006/relationships/hyperlink" Target="https://www.alzheimers.org.uk/about-dementia/risk-factors-and-prevention/is-dementia-hereditary" TargetMode="External"/><Relationship Id="rId43" Type="http://schemas.openxmlformats.org/officeDocument/2006/relationships/hyperlink" Target="https://www.thelancet.com/article/S0140-6736(20)30367-6/fulltext" TargetMode="External"/><Relationship Id="rId48" Type="http://schemas.openxmlformats.org/officeDocument/2006/relationships/hyperlink" Target="https://www.england.nhs.uk/mental-health/dementia/" TargetMode="Externa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https://knowsleycouncil.sharepoint.com/teams/PH-PublicHealthManagementTeam/Shared%20Documents/Intelligence/4.2%20Intelligence/JSNA/Dementia/2018/DATA/Dementia_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knowsleycouncil.sharepoint.com/teams/PH-PublicHealthManagementTeam/Shared%20Documents/Intelligence/4.2%20Intelligence/JSNA/Dementia/2018/DATA/Dementia_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racem\Downloads\pcdem-sicbl-age-sex-feb-2026.csv"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gracem\Downloads\pcdem-sicbl-age-sex-jun-2025.csv"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knowsleycouncil.sharepoint.com/teams/PH-PublicHealthManagementTeam/Shared%20Documents/Intelligence/4.2%20Intelligence/JSNA/Dementia/2018/DATA/Dementia_20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knowsleycouncil.sharepoint.com/teams/PH-PublicHealthManagementTeam/Shared%20Documents/Intelligence/4.2%20Intelligence/JSNA/Dementia/2018/DATA/Dementia_20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knowsleycouncil.sharepoint.com/teams/PH-PublicHealthManagementTeam/Shared%20Documents/14.%20Intelligence/4.2%20Intelligence/JSNA/Dementia/2018/DATA/Dementia_20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gracem\Downloads\nomis_2025_08_29_16302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gracem\Downloads\pcdem-sicbl-age-sex-jun-2025.csv"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82632929310803"/>
          <c:y val="5.0925925925925923E-2"/>
          <c:w val="0.83922985048217291"/>
          <c:h val="0.62620997515572374"/>
        </c:manualLayout>
      </c:layout>
      <c:lineChart>
        <c:grouping val="standard"/>
        <c:varyColors val="0"/>
        <c:ser>
          <c:idx val="0"/>
          <c:order val="0"/>
          <c:tx>
            <c:strRef>
              <c:f>Prevalence!$C$2</c:f>
              <c:strCache>
                <c:ptCount val="1"/>
                <c:pt idx="0">
                  <c:v>Knowsley (Sub ICB)</c:v>
                </c:pt>
              </c:strCache>
            </c:strRef>
          </c:tx>
          <c:spPr>
            <a:ln w="28575" cap="rnd">
              <a:solidFill>
                <a:srgbClr val="FF0000"/>
              </a:solidFill>
              <a:round/>
            </a:ln>
            <a:effectLst/>
          </c:spPr>
          <c:marker>
            <c:symbol val="none"/>
          </c:marker>
          <c:cat>
            <c:strRef>
              <c:f>Prevalence!$D$1:$Q$1</c:f>
              <c:strCache>
                <c:ptCount val="14"/>
                <c:pt idx="0">
                  <c:v>2011/12</c:v>
                </c:pt>
                <c:pt idx="1">
                  <c:v>2012/13</c:v>
                </c:pt>
                <c:pt idx="2">
                  <c:v>2013/14</c:v>
                </c:pt>
                <c:pt idx="3">
                  <c:v>2014/15</c:v>
                </c:pt>
                <c:pt idx="4">
                  <c:v>2015/16</c:v>
                </c:pt>
                <c:pt idx="5">
                  <c:v>2016/17</c:v>
                </c:pt>
                <c:pt idx="6">
                  <c:v>2017/18</c:v>
                </c:pt>
                <c:pt idx="7">
                  <c:v>2018/19</c:v>
                </c:pt>
                <c:pt idx="8">
                  <c:v>2019/20</c:v>
                </c:pt>
                <c:pt idx="9">
                  <c:v>2020/21</c:v>
                </c:pt>
                <c:pt idx="10">
                  <c:v>2021/22</c:v>
                </c:pt>
                <c:pt idx="11">
                  <c:v>2022/23</c:v>
                </c:pt>
                <c:pt idx="12">
                  <c:v>2023/24</c:v>
                </c:pt>
                <c:pt idx="13">
                  <c:v>2024/25</c:v>
                </c:pt>
              </c:strCache>
            </c:strRef>
          </c:cat>
          <c:val>
            <c:numRef>
              <c:f>Prevalence!$D$2:$Q$2</c:f>
              <c:numCache>
                <c:formatCode>0.00%</c:formatCode>
                <c:ptCount val="14"/>
                <c:pt idx="0">
                  <c:v>5.8495163736728296E-3</c:v>
                </c:pt>
                <c:pt idx="1">
                  <c:v>6.3636928043707694E-3</c:v>
                </c:pt>
                <c:pt idx="2">
                  <c:v>6.76814740626924E-3</c:v>
                </c:pt>
                <c:pt idx="3">
                  <c:v>6.9997391401562699E-3</c:v>
                </c:pt>
                <c:pt idx="4">
                  <c:v>7.4100515749436898E-3</c:v>
                </c:pt>
                <c:pt idx="5">
                  <c:v>7.67861185381881E-3</c:v>
                </c:pt>
                <c:pt idx="6">
                  <c:v>7.2526993129021699E-3</c:v>
                </c:pt>
                <c:pt idx="7">
                  <c:v>7.2812471839235806E-3</c:v>
                </c:pt>
                <c:pt idx="8">
                  <c:v>7.1507674720459203E-3</c:v>
                </c:pt>
                <c:pt idx="9">
                  <c:v>5.7820607857672303E-3</c:v>
                </c:pt>
                <c:pt idx="10">
                  <c:v>5.8047000000000003E-3</c:v>
                </c:pt>
                <c:pt idx="11">
                  <c:v>5.9541000000000004E-3</c:v>
                </c:pt>
                <c:pt idx="12">
                  <c:v>6.1000000000000004E-3</c:v>
                </c:pt>
                <c:pt idx="13">
                  <c:v>6.4000000000000003E-3</c:v>
                </c:pt>
              </c:numCache>
            </c:numRef>
          </c:val>
          <c:smooth val="0"/>
          <c:extLst>
            <c:ext xmlns:c16="http://schemas.microsoft.com/office/drawing/2014/chart" uri="{C3380CC4-5D6E-409C-BE32-E72D297353CC}">
              <c16:uniqueId val="{00000000-6158-4604-916E-E564B5D05445}"/>
            </c:ext>
          </c:extLst>
        </c:ser>
        <c:ser>
          <c:idx val="1"/>
          <c:order val="1"/>
          <c:tx>
            <c:strRef>
              <c:f>Prevalence!$C$3</c:f>
              <c:strCache>
                <c:ptCount val="1"/>
                <c:pt idx="0">
                  <c:v>Cheshire and Merseyside</c:v>
                </c:pt>
              </c:strCache>
            </c:strRef>
          </c:tx>
          <c:spPr>
            <a:ln w="28575" cap="rnd">
              <a:solidFill>
                <a:srgbClr val="0070C0"/>
              </a:solidFill>
              <a:round/>
            </a:ln>
            <a:effectLst/>
          </c:spPr>
          <c:marker>
            <c:symbol val="none"/>
          </c:marker>
          <c:cat>
            <c:strRef>
              <c:f>Prevalence!$D$1:$Q$1</c:f>
              <c:strCache>
                <c:ptCount val="14"/>
                <c:pt idx="0">
                  <c:v>2011/12</c:v>
                </c:pt>
                <c:pt idx="1">
                  <c:v>2012/13</c:v>
                </c:pt>
                <c:pt idx="2">
                  <c:v>2013/14</c:v>
                </c:pt>
                <c:pt idx="3">
                  <c:v>2014/15</c:v>
                </c:pt>
                <c:pt idx="4">
                  <c:v>2015/16</c:v>
                </c:pt>
                <c:pt idx="5">
                  <c:v>2016/17</c:v>
                </c:pt>
                <c:pt idx="6">
                  <c:v>2017/18</c:v>
                </c:pt>
                <c:pt idx="7">
                  <c:v>2018/19</c:v>
                </c:pt>
                <c:pt idx="8">
                  <c:v>2019/20</c:v>
                </c:pt>
                <c:pt idx="9">
                  <c:v>2020/21</c:v>
                </c:pt>
                <c:pt idx="10">
                  <c:v>2021/22</c:v>
                </c:pt>
                <c:pt idx="11">
                  <c:v>2022/23</c:v>
                </c:pt>
                <c:pt idx="12">
                  <c:v>2023/24</c:v>
                </c:pt>
                <c:pt idx="13">
                  <c:v>2024/25</c:v>
                </c:pt>
              </c:strCache>
            </c:strRef>
          </c:cat>
          <c:val>
            <c:numRef>
              <c:f>Prevalence!$D$3:$Q$3</c:f>
              <c:numCache>
                <c:formatCode>0.00%</c:formatCode>
                <c:ptCount val="14"/>
                <c:pt idx="0">
                  <c:v>5.90789997445297E-3</c:v>
                </c:pt>
                <c:pt idx="1">
                  <c:v>6.3118774251962597E-3</c:v>
                </c:pt>
                <c:pt idx="2">
                  <c:v>6.82942621112014E-3</c:v>
                </c:pt>
                <c:pt idx="3">
                  <c:v>8.0357802447906905E-3</c:v>
                </c:pt>
                <c:pt idx="4">
                  <c:v>8.35462327999641E-3</c:v>
                </c:pt>
                <c:pt idx="5">
                  <c:v>8.5297403046236606E-3</c:v>
                </c:pt>
                <c:pt idx="6">
                  <c:v>8.3897957735029911E-3</c:v>
                </c:pt>
                <c:pt idx="7">
                  <c:v>8.6502051328960303E-3</c:v>
                </c:pt>
                <c:pt idx="8">
                  <c:v>8.6459007917490203E-3</c:v>
                </c:pt>
                <c:pt idx="9">
                  <c:v>7.6539716386562493E-3</c:v>
                </c:pt>
                <c:pt idx="10">
                  <c:v>7.8802999999999998E-3</c:v>
                </c:pt>
                <c:pt idx="11">
                  <c:v>8.1580999999999997E-3</c:v>
                </c:pt>
                <c:pt idx="12">
                  <c:v>8.5000000000000006E-3</c:v>
                </c:pt>
                <c:pt idx="13">
                  <c:v>8.6999999999999994E-3</c:v>
                </c:pt>
              </c:numCache>
            </c:numRef>
          </c:val>
          <c:smooth val="0"/>
          <c:extLst>
            <c:ext xmlns:c16="http://schemas.microsoft.com/office/drawing/2014/chart" uri="{C3380CC4-5D6E-409C-BE32-E72D297353CC}">
              <c16:uniqueId val="{00000001-6158-4604-916E-E564B5D05445}"/>
            </c:ext>
          </c:extLst>
        </c:ser>
        <c:ser>
          <c:idx val="2"/>
          <c:order val="2"/>
          <c:tx>
            <c:strRef>
              <c:f>Prevalence!$C$4</c:f>
              <c:strCache>
                <c:ptCount val="1"/>
                <c:pt idx="0">
                  <c:v>England</c:v>
                </c:pt>
              </c:strCache>
            </c:strRef>
          </c:tx>
          <c:spPr>
            <a:ln w="28575" cap="rnd">
              <a:solidFill>
                <a:schemeClr val="tx1"/>
              </a:solidFill>
              <a:round/>
            </a:ln>
            <a:effectLst/>
          </c:spPr>
          <c:marker>
            <c:symbol val="none"/>
          </c:marker>
          <c:cat>
            <c:strRef>
              <c:f>Prevalence!$D$1:$Q$1</c:f>
              <c:strCache>
                <c:ptCount val="14"/>
                <c:pt idx="0">
                  <c:v>2011/12</c:v>
                </c:pt>
                <c:pt idx="1">
                  <c:v>2012/13</c:v>
                </c:pt>
                <c:pt idx="2">
                  <c:v>2013/14</c:v>
                </c:pt>
                <c:pt idx="3">
                  <c:v>2014/15</c:v>
                </c:pt>
                <c:pt idx="4">
                  <c:v>2015/16</c:v>
                </c:pt>
                <c:pt idx="5">
                  <c:v>2016/17</c:v>
                </c:pt>
                <c:pt idx="6">
                  <c:v>2017/18</c:v>
                </c:pt>
                <c:pt idx="7">
                  <c:v>2018/19</c:v>
                </c:pt>
                <c:pt idx="8">
                  <c:v>2019/20</c:v>
                </c:pt>
                <c:pt idx="9">
                  <c:v>2020/21</c:v>
                </c:pt>
                <c:pt idx="10">
                  <c:v>2021/22</c:v>
                </c:pt>
                <c:pt idx="11">
                  <c:v>2022/23</c:v>
                </c:pt>
                <c:pt idx="12">
                  <c:v>2023/24</c:v>
                </c:pt>
                <c:pt idx="13">
                  <c:v>2024/25</c:v>
                </c:pt>
              </c:strCache>
            </c:strRef>
          </c:cat>
          <c:val>
            <c:numRef>
              <c:f>Prevalence!$D$4:$Q$4</c:f>
              <c:numCache>
                <c:formatCode>0.00%</c:formatCode>
                <c:ptCount val="14"/>
                <c:pt idx="0">
                  <c:v>5.2901238654539497E-3</c:v>
                </c:pt>
                <c:pt idx="1">
                  <c:v>5.6892889707251806E-3</c:v>
                </c:pt>
                <c:pt idx="2">
                  <c:v>6.1957159363675192E-3</c:v>
                </c:pt>
                <c:pt idx="3">
                  <c:v>7.3757533177980193E-3</c:v>
                </c:pt>
                <c:pt idx="4">
                  <c:v>7.5900865013212105E-3</c:v>
                </c:pt>
                <c:pt idx="5">
                  <c:v>7.6485528901536308E-3</c:v>
                </c:pt>
                <c:pt idx="6">
                  <c:v>7.64856149020509E-3</c:v>
                </c:pt>
                <c:pt idx="7">
                  <c:v>7.8277582011789405E-3</c:v>
                </c:pt>
                <c:pt idx="8">
                  <c:v>7.85557334302746E-3</c:v>
                </c:pt>
                <c:pt idx="9">
                  <c:v>7.09623935235519E-3</c:v>
                </c:pt>
                <c:pt idx="10">
                  <c:v>7.2057084797106296E-3</c:v>
                </c:pt>
                <c:pt idx="11">
                  <c:v>7.3796784019739504E-3</c:v>
                </c:pt>
                <c:pt idx="12">
                  <c:v>7.6E-3</c:v>
                </c:pt>
                <c:pt idx="13">
                  <c:v>7.7999999999999996E-3</c:v>
                </c:pt>
              </c:numCache>
            </c:numRef>
          </c:val>
          <c:smooth val="0"/>
          <c:extLst>
            <c:ext xmlns:c16="http://schemas.microsoft.com/office/drawing/2014/chart" uri="{C3380CC4-5D6E-409C-BE32-E72D297353CC}">
              <c16:uniqueId val="{00000002-6158-4604-916E-E564B5D05445}"/>
            </c:ext>
          </c:extLst>
        </c:ser>
        <c:dLbls>
          <c:showLegendKey val="0"/>
          <c:showVal val="0"/>
          <c:showCatName val="0"/>
          <c:showSerName val="0"/>
          <c:showPercent val="0"/>
          <c:showBubbleSize val="0"/>
        </c:dLbls>
        <c:smooth val="0"/>
        <c:axId val="985289432"/>
        <c:axId val="985295008"/>
      </c:lineChart>
      <c:catAx>
        <c:axId val="985289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295008"/>
        <c:crosses val="autoZero"/>
        <c:auto val="1"/>
        <c:lblAlgn val="ctr"/>
        <c:lblOffset val="100"/>
        <c:noMultiLvlLbl val="0"/>
      </c:catAx>
      <c:valAx>
        <c:axId val="985295008"/>
        <c:scaling>
          <c:orientation val="minMax"/>
          <c:max val="1.0000000000000002E-2"/>
          <c:min val="4.000000000000001E-3"/>
        </c:scaling>
        <c:delete val="0"/>
        <c:axPos val="l"/>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289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Dementia QOF prevalence by GP practice - 2024/25  </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GPs</c:v>
          </c:tx>
          <c:spPr>
            <a:solidFill>
              <a:schemeClr val="accent1"/>
            </a:solidFill>
            <a:ln>
              <a:noFill/>
            </a:ln>
            <a:effectLst/>
          </c:spPr>
          <c:invertIfNegative val="0"/>
          <c:cat>
            <c:strRef>
              <c:f>GP_Prev_22_23!$A$4:$A$26</c:f>
              <c:strCache>
                <c:ptCount val="23"/>
                <c:pt idx="0">
                  <c:v>Primrose Medical Practice</c:v>
                </c:pt>
                <c:pt idx="1">
                  <c:v>Roseheath Surgery</c:v>
                </c:pt>
                <c:pt idx="2">
                  <c:v>Cornerways Medical Centre</c:v>
                </c:pt>
                <c:pt idx="3">
                  <c:v>Hollies Medical Centre</c:v>
                </c:pt>
                <c:pt idx="4">
                  <c:v>Hillside House Surgery</c:v>
                </c:pt>
                <c:pt idx="5">
                  <c:v>Dr Maassarani &amp; Partners</c:v>
                </c:pt>
                <c:pt idx="6">
                  <c:v>The Macmillan Surgery</c:v>
                </c:pt>
                <c:pt idx="7">
                  <c:v>The Health Centre Surgery</c:v>
                </c:pt>
                <c:pt idx="8">
                  <c:v>Stockbridge Village HC</c:v>
                </c:pt>
                <c:pt idx="9">
                  <c:v>Dr M Suares' Practice</c:v>
                </c:pt>
                <c:pt idx="10">
                  <c:v>St. Laurence's Medical Centre</c:v>
                </c:pt>
                <c:pt idx="11">
                  <c:v>Longview Medical Centre</c:v>
                </c:pt>
                <c:pt idx="12">
                  <c:v>Park House Medical Centre</c:v>
                </c:pt>
                <c:pt idx="13">
                  <c:v>Wingate Medical Centre</c:v>
                </c:pt>
                <c:pt idx="14">
                  <c:v>Cedar Cross Medical Centre</c:v>
                </c:pt>
                <c:pt idx="15">
                  <c:v>Millbrook Medical Centre</c:v>
                </c:pt>
                <c:pt idx="16">
                  <c:v>Dinas Lane Medical Centre</c:v>
                </c:pt>
                <c:pt idx="17">
                  <c:v>Prescot Medical Centre</c:v>
                </c:pt>
                <c:pt idx="18">
                  <c:v>Aston Healthcare Limited</c:v>
                </c:pt>
                <c:pt idx="19">
                  <c:v>Tarbock Medical Centre</c:v>
                </c:pt>
                <c:pt idx="20">
                  <c:v>Colby Medical Centre</c:v>
                </c:pt>
                <c:pt idx="21">
                  <c:v>Nutgrove Villa Surgery</c:v>
                </c:pt>
                <c:pt idx="22">
                  <c:v>Roby Medical Centre</c:v>
                </c:pt>
              </c:strCache>
            </c:strRef>
          </c:cat>
          <c:val>
            <c:numRef>
              <c:f>GP_Prev_22_23!$B$4:$B$26</c:f>
              <c:numCache>
                <c:formatCode>General</c:formatCode>
                <c:ptCount val="23"/>
                <c:pt idx="0">
                  <c:v>0.23328149300155521</c:v>
                </c:pt>
                <c:pt idx="1">
                  <c:v>0.2445842068483578</c:v>
                </c:pt>
                <c:pt idx="2">
                  <c:v>0.25919105108792029</c:v>
                </c:pt>
                <c:pt idx="3">
                  <c:v>0.33428844317096468</c:v>
                </c:pt>
                <c:pt idx="4">
                  <c:v>0.35310734463276838</c:v>
                </c:pt>
                <c:pt idx="5">
                  <c:v>0.42997154600063231</c:v>
                </c:pt>
                <c:pt idx="6">
                  <c:v>0.43367346938775508</c:v>
                </c:pt>
                <c:pt idx="7">
                  <c:v>0.44294452647120858</c:v>
                </c:pt>
                <c:pt idx="8">
                  <c:v>0.46814341173783969</c:v>
                </c:pt>
                <c:pt idx="9">
                  <c:v>0.47935103244837762</c:v>
                </c:pt>
                <c:pt idx="10">
                  <c:v>0.49099836333878888</c:v>
                </c:pt>
                <c:pt idx="11">
                  <c:v>0.56366897258519089</c:v>
                </c:pt>
                <c:pt idx="12">
                  <c:v>0.5641218503196691</c:v>
                </c:pt>
                <c:pt idx="13">
                  <c:v>0.5897009966777409</c:v>
                </c:pt>
                <c:pt idx="14">
                  <c:v>0.59246720270842146</c:v>
                </c:pt>
                <c:pt idx="15">
                  <c:v>0.64447707619513783</c:v>
                </c:pt>
                <c:pt idx="16">
                  <c:v>0.65545739526930746</c:v>
                </c:pt>
                <c:pt idx="17">
                  <c:v>0.76211213935764832</c:v>
                </c:pt>
                <c:pt idx="18">
                  <c:v>1.1160302527209001</c:v>
                </c:pt>
                <c:pt idx="19">
                  <c:v>1.1315688530878401</c:v>
                </c:pt>
                <c:pt idx="20">
                  <c:v>1.1627906976744189</c:v>
                </c:pt>
                <c:pt idx="21">
                  <c:v>1.2079831932773111</c:v>
                </c:pt>
                <c:pt idx="22">
                  <c:v>1.554510124769892</c:v>
                </c:pt>
              </c:numCache>
            </c:numRef>
          </c:val>
          <c:extLst>
            <c:ext xmlns:c16="http://schemas.microsoft.com/office/drawing/2014/chart" uri="{C3380CC4-5D6E-409C-BE32-E72D297353CC}">
              <c16:uniqueId val="{00000000-AD00-455B-9792-2F1BB0269721}"/>
            </c:ext>
          </c:extLst>
        </c:ser>
        <c:dLbls>
          <c:showLegendKey val="0"/>
          <c:showVal val="0"/>
          <c:showCatName val="0"/>
          <c:showSerName val="0"/>
          <c:showPercent val="0"/>
          <c:showBubbleSize val="0"/>
        </c:dLbls>
        <c:gapWidth val="219"/>
        <c:axId val="829589424"/>
        <c:axId val="443032720"/>
      </c:barChart>
      <c:lineChart>
        <c:grouping val="standard"/>
        <c:varyColors val="0"/>
        <c:ser>
          <c:idx val="1"/>
          <c:order val="1"/>
          <c:tx>
            <c:strRef>
              <c:f>GP_Prev_22_23!$C$3</c:f>
              <c:strCache>
                <c:ptCount val="1"/>
                <c:pt idx="0">
                  <c:v>Knowsley Sub-ICB 01J </c:v>
                </c:pt>
              </c:strCache>
            </c:strRef>
          </c:tx>
          <c:spPr>
            <a:ln w="28575" cap="rnd">
              <a:solidFill>
                <a:srgbClr val="FF0000"/>
              </a:solidFill>
              <a:round/>
            </a:ln>
            <a:effectLst/>
          </c:spPr>
          <c:marker>
            <c:symbol val="none"/>
          </c:marker>
          <c:val>
            <c:numRef>
              <c:f>GP_Prev_22_23!$C$4:$C$26</c:f>
              <c:numCache>
                <c:formatCode>General</c:formatCode>
                <c:ptCount val="23"/>
                <c:pt idx="0">
                  <c:v>0.64</c:v>
                </c:pt>
                <c:pt idx="1">
                  <c:v>0.64</c:v>
                </c:pt>
                <c:pt idx="2">
                  <c:v>0.64</c:v>
                </c:pt>
                <c:pt idx="3">
                  <c:v>0.64</c:v>
                </c:pt>
                <c:pt idx="4">
                  <c:v>0.64</c:v>
                </c:pt>
                <c:pt idx="5">
                  <c:v>0.64</c:v>
                </c:pt>
                <c:pt idx="6">
                  <c:v>0.64</c:v>
                </c:pt>
                <c:pt idx="7">
                  <c:v>0.64</c:v>
                </c:pt>
                <c:pt idx="8">
                  <c:v>0.64</c:v>
                </c:pt>
                <c:pt idx="9">
                  <c:v>0.64</c:v>
                </c:pt>
                <c:pt idx="10">
                  <c:v>0.64</c:v>
                </c:pt>
                <c:pt idx="11">
                  <c:v>0.64</c:v>
                </c:pt>
                <c:pt idx="12">
                  <c:v>0.64</c:v>
                </c:pt>
                <c:pt idx="13">
                  <c:v>0.64</c:v>
                </c:pt>
                <c:pt idx="14">
                  <c:v>0.64</c:v>
                </c:pt>
                <c:pt idx="15">
                  <c:v>0.64</c:v>
                </c:pt>
                <c:pt idx="16">
                  <c:v>0.64</c:v>
                </c:pt>
                <c:pt idx="17">
                  <c:v>0.64</c:v>
                </c:pt>
                <c:pt idx="18">
                  <c:v>0.64</c:v>
                </c:pt>
                <c:pt idx="19">
                  <c:v>0.64</c:v>
                </c:pt>
                <c:pt idx="20">
                  <c:v>0.64</c:v>
                </c:pt>
                <c:pt idx="21">
                  <c:v>0.64</c:v>
                </c:pt>
                <c:pt idx="22">
                  <c:v>0.64</c:v>
                </c:pt>
              </c:numCache>
            </c:numRef>
          </c:val>
          <c:smooth val="0"/>
          <c:extLst>
            <c:ext xmlns:c16="http://schemas.microsoft.com/office/drawing/2014/chart" uri="{C3380CC4-5D6E-409C-BE32-E72D297353CC}">
              <c16:uniqueId val="{00000001-AD00-455B-9792-2F1BB0269721}"/>
            </c:ext>
          </c:extLst>
        </c:ser>
        <c:ser>
          <c:idx val="2"/>
          <c:order val="2"/>
          <c:tx>
            <c:strRef>
              <c:f>GP_Prev_22_23!$D$3</c:f>
              <c:strCache>
                <c:ptCount val="1"/>
                <c:pt idx="0">
                  <c:v>England </c:v>
                </c:pt>
              </c:strCache>
            </c:strRef>
          </c:tx>
          <c:spPr>
            <a:ln w="28575" cap="rnd">
              <a:solidFill>
                <a:schemeClr val="tx1"/>
              </a:solidFill>
              <a:round/>
            </a:ln>
            <a:effectLst/>
          </c:spPr>
          <c:marker>
            <c:symbol val="none"/>
          </c:marker>
          <c:val>
            <c:numRef>
              <c:f>GP_Prev_22_23!$D$4:$D$26</c:f>
              <c:numCache>
                <c:formatCode>General</c:formatCode>
                <c:ptCount val="23"/>
                <c:pt idx="0">
                  <c:v>0.78</c:v>
                </c:pt>
                <c:pt idx="1">
                  <c:v>0.78</c:v>
                </c:pt>
                <c:pt idx="2">
                  <c:v>0.78</c:v>
                </c:pt>
                <c:pt idx="3">
                  <c:v>0.78</c:v>
                </c:pt>
                <c:pt idx="4">
                  <c:v>0.78</c:v>
                </c:pt>
                <c:pt idx="5">
                  <c:v>0.78</c:v>
                </c:pt>
                <c:pt idx="6">
                  <c:v>0.78</c:v>
                </c:pt>
                <c:pt idx="7">
                  <c:v>0.78</c:v>
                </c:pt>
                <c:pt idx="8">
                  <c:v>0.78</c:v>
                </c:pt>
                <c:pt idx="9">
                  <c:v>0.78</c:v>
                </c:pt>
                <c:pt idx="10">
                  <c:v>0.78</c:v>
                </c:pt>
                <c:pt idx="11">
                  <c:v>0.78</c:v>
                </c:pt>
                <c:pt idx="12">
                  <c:v>0.78</c:v>
                </c:pt>
                <c:pt idx="13">
                  <c:v>0.78</c:v>
                </c:pt>
                <c:pt idx="14">
                  <c:v>0.78</c:v>
                </c:pt>
                <c:pt idx="15">
                  <c:v>0.78</c:v>
                </c:pt>
                <c:pt idx="16">
                  <c:v>0.78</c:v>
                </c:pt>
                <c:pt idx="17">
                  <c:v>0.78</c:v>
                </c:pt>
                <c:pt idx="18">
                  <c:v>0.78</c:v>
                </c:pt>
                <c:pt idx="19">
                  <c:v>0.78</c:v>
                </c:pt>
                <c:pt idx="20">
                  <c:v>0.78</c:v>
                </c:pt>
                <c:pt idx="21">
                  <c:v>0.78</c:v>
                </c:pt>
                <c:pt idx="22">
                  <c:v>0.78</c:v>
                </c:pt>
              </c:numCache>
            </c:numRef>
          </c:val>
          <c:smooth val="0"/>
          <c:extLst>
            <c:ext xmlns:c16="http://schemas.microsoft.com/office/drawing/2014/chart" uri="{C3380CC4-5D6E-409C-BE32-E72D297353CC}">
              <c16:uniqueId val="{00000002-AD00-455B-9792-2F1BB0269721}"/>
            </c:ext>
          </c:extLst>
        </c:ser>
        <c:dLbls>
          <c:showLegendKey val="0"/>
          <c:showVal val="0"/>
          <c:showCatName val="0"/>
          <c:showSerName val="0"/>
          <c:showPercent val="0"/>
          <c:showBubbleSize val="0"/>
        </c:dLbls>
        <c:marker val="1"/>
        <c:smooth val="0"/>
        <c:axId val="829589424"/>
        <c:axId val="443032720"/>
      </c:lineChart>
      <c:catAx>
        <c:axId val="82958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43032720"/>
        <c:crosses val="autoZero"/>
        <c:auto val="1"/>
        <c:lblAlgn val="ctr"/>
        <c:lblOffset val="100"/>
        <c:noMultiLvlLbl val="0"/>
      </c:catAx>
      <c:valAx>
        <c:axId val="443032720"/>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GB"/>
                  <a:t>% prevalence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29589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a:t>Knowsley - Diagnosed Dementia split by age and gender - February 2026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Sheet1!$C$3</c:f>
              <c:strCache>
                <c:ptCount val="1"/>
                <c:pt idx="0">
                  <c:v>Female</c:v>
                </c:pt>
              </c:strCache>
            </c:strRef>
          </c:tx>
          <c:spPr>
            <a:solidFill>
              <a:schemeClr val="accent1"/>
            </a:solidFill>
            <a:ln>
              <a:noFill/>
            </a:ln>
            <a:effectLst/>
          </c:spPr>
          <c:invertIfNegative val="0"/>
          <c:cat>
            <c:strRef>
              <c:f>Sheet1!$B$4:$B$9</c:f>
              <c:strCache>
                <c:ptCount val="6"/>
                <c:pt idx="0">
                  <c:v>65 to 69</c:v>
                </c:pt>
                <c:pt idx="1">
                  <c:v>70 to 74</c:v>
                </c:pt>
                <c:pt idx="2">
                  <c:v>75 to 79</c:v>
                </c:pt>
                <c:pt idx="3">
                  <c:v>80 to 84</c:v>
                </c:pt>
                <c:pt idx="4">
                  <c:v>85 to 90</c:v>
                </c:pt>
                <c:pt idx="5">
                  <c:v>90+</c:v>
                </c:pt>
              </c:strCache>
            </c:strRef>
          </c:cat>
          <c:val>
            <c:numRef>
              <c:f>Sheet1!$C$4:$C$9</c:f>
              <c:numCache>
                <c:formatCode>General</c:formatCode>
                <c:ptCount val="6"/>
                <c:pt idx="0">
                  <c:v>33</c:v>
                </c:pt>
                <c:pt idx="1">
                  <c:v>68</c:v>
                </c:pt>
                <c:pt idx="2">
                  <c:v>112</c:v>
                </c:pt>
                <c:pt idx="3">
                  <c:v>144</c:v>
                </c:pt>
                <c:pt idx="4">
                  <c:v>185</c:v>
                </c:pt>
                <c:pt idx="5">
                  <c:v>149</c:v>
                </c:pt>
              </c:numCache>
            </c:numRef>
          </c:val>
          <c:extLst>
            <c:ext xmlns:c16="http://schemas.microsoft.com/office/drawing/2014/chart" uri="{C3380CC4-5D6E-409C-BE32-E72D297353CC}">
              <c16:uniqueId val="{00000000-CB97-410B-BE57-EC65A60BC1BA}"/>
            </c:ext>
          </c:extLst>
        </c:ser>
        <c:ser>
          <c:idx val="1"/>
          <c:order val="1"/>
          <c:tx>
            <c:strRef>
              <c:f>Sheet1!$D$3</c:f>
              <c:strCache>
                <c:ptCount val="1"/>
                <c:pt idx="0">
                  <c:v>Male</c:v>
                </c:pt>
              </c:strCache>
            </c:strRef>
          </c:tx>
          <c:spPr>
            <a:solidFill>
              <a:schemeClr val="accent2">
                <a:lumMod val="50000"/>
              </a:schemeClr>
            </a:solidFill>
            <a:ln>
              <a:solidFill>
                <a:schemeClr val="accent2">
                  <a:lumMod val="50000"/>
                </a:schemeClr>
              </a:solidFill>
            </a:ln>
            <a:effectLst/>
          </c:spPr>
          <c:invertIfNegative val="0"/>
          <c:cat>
            <c:strRef>
              <c:f>Sheet1!$B$4:$B$9</c:f>
              <c:strCache>
                <c:ptCount val="6"/>
                <c:pt idx="0">
                  <c:v>65 to 69</c:v>
                </c:pt>
                <c:pt idx="1">
                  <c:v>70 to 74</c:v>
                </c:pt>
                <c:pt idx="2">
                  <c:v>75 to 79</c:v>
                </c:pt>
                <c:pt idx="3">
                  <c:v>80 to 84</c:v>
                </c:pt>
                <c:pt idx="4">
                  <c:v>85 to 90</c:v>
                </c:pt>
                <c:pt idx="5">
                  <c:v>90+</c:v>
                </c:pt>
              </c:strCache>
            </c:strRef>
          </c:cat>
          <c:val>
            <c:numRef>
              <c:f>Sheet1!$D$4:$D$9</c:f>
              <c:numCache>
                <c:formatCode>General</c:formatCode>
                <c:ptCount val="6"/>
                <c:pt idx="0">
                  <c:v>46</c:v>
                </c:pt>
                <c:pt idx="1">
                  <c:v>52</c:v>
                </c:pt>
                <c:pt idx="2">
                  <c:v>103</c:v>
                </c:pt>
                <c:pt idx="3">
                  <c:v>91</c:v>
                </c:pt>
                <c:pt idx="4">
                  <c:v>102</c:v>
                </c:pt>
                <c:pt idx="5">
                  <c:v>53</c:v>
                </c:pt>
              </c:numCache>
            </c:numRef>
          </c:val>
          <c:extLst>
            <c:ext xmlns:c16="http://schemas.microsoft.com/office/drawing/2014/chart" uri="{C3380CC4-5D6E-409C-BE32-E72D297353CC}">
              <c16:uniqueId val="{00000001-CB97-410B-BE57-EC65A60BC1BA}"/>
            </c:ext>
          </c:extLst>
        </c:ser>
        <c:dLbls>
          <c:showLegendKey val="0"/>
          <c:showVal val="0"/>
          <c:showCatName val="0"/>
          <c:showSerName val="0"/>
          <c:showPercent val="0"/>
          <c:showBubbleSize val="0"/>
        </c:dLbls>
        <c:gapWidth val="219"/>
        <c:overlap val="-27"/>
        <c:axId val="522381824"/>
        <c:axId val="522379664"/>
      </c:barChart>
      <c:catAx>
        <c:axId val="522381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 Group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22379664"/>
        <c:crosses val="autoZero"/>
        <c:auto val="1"/>
        <c:lblAlgn val="ctr"/>
        <c:lblOffset val="100"/>
        <c:noMultiLvlLbl val="0"/>
      </c:catAx>
      <c:valAx>
        <c:axId val="5223796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people with diagnosed Dementia</a:t>
                </a:r>
              </a:p>
            </c:rich>
          </c:tx>
          <c:layout>
            <c:manualLayout>
              <c:xMode val="edge"/>
              <c:yMode val="edge"/>
              <c:x val="2.2222222222222223E-2"/>
              <c:y val="0.1536111111111111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22381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Sheet2!$H$5</c:f>
              <c:strCache>
                <c:ptCount val="1"/>
                <c:pt idx="0">
                  <c:v>Knowsley</c:v>
                </c:pt>
              </c:strCache>
            </c:strRef>
          </c:tx>
          <c:spPr>
            <a:ln w="28575" cap="rnd">
              <a:solidFill>
                <a:srgbClr val="FF0000"/>
              </a:solidFill>
              <a:round/>
            </a:ln>
            <a:effectLst/>
          </c:spPr>
          <c:marker>
            <c:symbol val="none"/>
          </c:marker>
          <c:cat>
            <c:numRef>
              <c:f>Sheet2!$I$4:$Q$4</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Sheet2!$I$5:$Q$5</c:f>
              <c:numCache>
                <c:formatCode>0.00%</c:formatCode>
                <c:ptCount val="9"/>
                <c:pt idx="0">
                  <c:v>0.75099999999999989</c:v>
                </c:pt>
                <c:pt idx="1">
                  <c:v>0.69900000000000007</c:v>
                </c:pt>
                <c:pt idx="2">
                  <c:v>0.7</c:v>
                </c:pt>
                <c:pt idx="3">
                  <c:v>0.68</c:v>
                </c:pt>
                <c:pt idx="4">
                  <c:v>0.56700000000000006</c:v>
                </c:pt>
                <c:pt idx="5">
                  <c:v>0.56899999999999995</c:v>
                </c:pt>
                <c:pt idx="6">
                  <c:v>0.58200000000000007</c:v>
                </c:pt>
                <c:pt idx="7">
                  <c:v>0.61499999999999999</c:v>
                </c:pt>
                <c:pt idx="8">
                  <c:v>0.6409999999999999</c:v>
                </c:pt>
              </c:numCache>
            </c:numRef>
          </c:val>
          <c:smooth val="0"/>
          <c:extLst>
            <c:ext xmlns:c16="http://schemas.microsoft.com/office/drawing/2014/chart" uri="{C3380CC4-5D6E-409C-BE32-E72D297353CC}">
              <c16:uniqueId val="{00000000-3CEB-432F-A890-F53293D33770}"/>
            </c:ext>
          </c:extLst>
        </c:ser>
        <c:ser>
          <c:idx val="1"/>
          <c:order val="1"/>
          <c:tx>
            <c:strRef>
              <c:f>Sheet2!$H$6</c:f>
              <c:strCache>
                <c:ptCount val="1"/>
                <c:pt idx="0">
                  <c:v>North West</c:v>
                </c:pt>
              </c:strCache>
            </c:strRef>
          </c:tx>
          <c:spPr>
            <a:ln w="28575" cap="rnd">
              <a:solidFill>
                <a:srgbClr val="0070C0"/>
              </a:solidFill>
              <a:round/>
            </a:ln>
            <a:effectLst/>
          </c:spPr>
          <c:marker>
            <c:symbol val="none"/>
          </c:marker>
          <c:cat>
            <c:numRef>
              <c:f>Sheet2!$I$4:$Q$4</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Sheet2!$I$6:$Q$6</c:f>
              <c:numCache>
                <c:formatCode>0.00%</c:formatCode>
                <c:ptCount val="9"/>
                <c:pt idx="0">
                  <c:v>0.73199999999999998</c:v>
                </c:pt>
                <c:pt idx="1">
                  <c:v>0.72199999999999998</c:v>
                </c:pt>
                <c:pt idx="2">
                  <c:v>0.7340000000000001</c:v>
                </c:pt>
                <c:pt idx="3">
                  <c:v>0.71299999999999997</c:v>
                </c:pt>
                <c:pt idx="4">
                  <c:v>0.64900000000000002</c:v>
                </c:pt>
                <c:pt idx="5">
                  <c:v>0.65700000000000003</c:v>
                </c:pt>
                <c:pt idx="6">
                  <c:v>0.66900000000000004</c:v>
                </c:pt>
                <c:pt idx="7">
                  <c:v>0.68900000000000006</c:v>
                </c:pt>
                <c:pt idx="8">
                  <c:v>0.69400000000000006</c:v>
                </c:pt>
              </c:numCache>
            </c:numRef>
          </c:val>
          <c:smooth val="0"/>
          <c:extLst>
            <c:ext xmlns:c16="http://schemas.microsoft.com/office/drawing/2014/chart" uri="{C3380CC4-5D6E-409C-BE32-E72D297353CC}">
              <c16:uniqueId val="{00000001-3CEB-432F-A890-F53293D33770}"/>
            </c:ext>
          </c:extLst>
        </c:ser>
        <c:ser>
          <c:idx val="2"/>
          <c:order val="2"/>
          <c:tx>
            <c:strRef>
              <c:f>Sheet2!$H$7</c:f>
              <c:strCache>
                <c:ptCount val="1"/>
                <c:pt idx="0">
                  <c:v>England</c:v>
                </c:pt>
              </c:strCache>
            </c:strRef>
          </c:tx>
          <c:spPr>
            <a:ln w="28575" cap="rnd">
              <a:solidFill>
                <a:schemeClr val="tx1">
                  <a:lumMod val="95000"/>
                  <a:lumOff val="5000"/>
                </a:schemeClr>
              </a:solidFill>
              <a:round/>
            </a:ln>
            <a:effectLst/>
          </c:spPr>
          <c:marker>
            <c:symbol val="none"/>
          </c:marker>
          <c:cat>
            <c:numRef>
              <c:f>Sheet2!$I$4:$Q$4</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Sheet2!$I$7:$Q$7</c:f>
              <c:numCache>
                <c:formatCode>0.00%</c:formatCode>
                <c:ptCount val="9"/>
                <c:pt idx="0">
                  <c:v>0.67900000000000005</c:v>
                </c:pt>
                <c:pt idx="1">
                  <c:v>0.67500000000000004</c:v>
                </c:pt>
                <c:pt idx="2">
                  <c:v>0.68700000000000006</c:v>
                </c:pt>
                <c:pt idx="3">
                  <c:v>0.67400000000000004</c:v>
                </c:pt>
                <c:pt idx="4">
                  <c:v>0.61599999999999999</c:v>
                </c:pt>
                <c:pt idx="5">
                  <c:v>0.62</c:v>
                </c:pt>
                <c:pt idx="6">
                  <c:v>0.63</c:v>
                </c:pt>
                <c:pt idx="7">
                  <c:v>0.64800000000000002</c:v>
                </c:pt>
                <c:pt idx="8">
                  <c:v>0.65599999999999992</c:v>
                </c:pt>
              </c:numCache>
            </c:numRef>
          </c:val>
          <c:smooth val="0"/>
          <c:extLst>
            <c:ext xmlns:c16="http://schemas.microsoft.com/office/drawing/2014/chart" uri="{C3380CC4-5D6E-409C-BE32-E72D297353CC}">
              <c16:uniqueId val="{00000002-3CEB-432F-A890-F53293D33770}"/>
            </c:ext>
          </c:extLst>
        </c:ser>
        <c:dLbls>
          <c:showLegendKey val="0"/>
          <c:showVal val="0"/>
          <c:showCatName val="0"/>
          <c:showSerName val="0"/>
          <c:showPercent val="0"/>
          <c:showBubbleSize val="0"/>
        </c:dLbls>
        <c:smooth val="0"/>
        <c:axId val="714436152"/>
        <c:axId val="714432552"/>
      </c:lineChart>
      <c:catAx>
        <c:axId val="714436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432552"/>
        <c:crosses val="autoZero"/>
        <c:auto val="1"/>
        <c:lblAlgn val="ctr"/>
        <c:lblOffset val="100"/>
        <c:noMultiLvlLbl val="0"/>
      </c:catAx>
      <c:valAx>
        <c:axId val="714432552"/>
        <c:scaling>
          <c:orientation val="minMax"/>
          <c:min val="0.5"/>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436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GB"/>
              <a:t>% of patients diagnosed with Dementia whose care plan has been reviewed in the last 12 months</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CarePlan!$A$4</c:f>
              <c:strCache>
                <c:ptCount val="1"/>
                <c:pt idx="0">
                  <c:v>Knowsley Sub-ICB 01J</c:v>
                </c:pt>
              </c:strCache>
            </c:strRef>
          </c:tx>
          <c:spPr>
            <a:ln w="28575" cap="rnd">
              <a:solidFill>
                <a:srgbClr val="FF0000"/>
              </a:solidFill>
              <a:round/>
            </a:ln>
            <a:effectLst/>
          </c:spPr>
          <c:marker>
            <c:symbol val="none"/>
          </c:marker>
          <c:cat>
            <c:strRef>
              <c:f>CarePlan!$B$3:$M$3</c:f>
              <c:strCache>
                <c:ptCount val="12"/>
                <c:pt idx="0">
                  <c:v>2013/14</c:v>
                </c:pt>
                <c:pt idx="1">
                  <c:v>2014/15</c:v>
                </c:pt>
                <c:pt idx="2">
                  <c:v>2015/16</c:v>
                </c:pt>
                <c:pt idx="3">
                  <c:v>2016/17</c:v>
                </c:pt>
                <c:pt idx="4">
                  <c:v>2017/18</c:v>
                </c:pt>
                <c:pt idx="5">
                  <c:v>2018/19</c:v>
                </c:pt>
                <c:pt idx="6">
                  <c:v>2019/20</c:v>
                </c:pt>
                <c:pt idx="7">
                  <c:v>2020/21</c:v>
                </c:pt>
                <c:pt idx="8">
                  <c:v>2021/22</c:v>
                </c:pt>
                <c:pt idx="9">
                  <c:v>2022/23</c:v>
                </c:pt>
                <c:pt idx="10">
                  <c:v>2023/24</c:v>
                </c:pt>
                <c:pt idx="11">
                  <c:v>2024/25</c:v>
                </c:pt>
              </c:strCache>
            </c:strRef>
          </c:cat>
          <c:val>
            <c:numRef>
              <c:f>CarePlan!$B$4:$M$4</c:f>
              <c:numCache>
                <c:formatCode>0.0</c:formatCode>
                <c:ptCount val="12"/>
                <c:pt idx="0">
                  <c:v>75.436982520699203</c:v>
                </c:pt>
                <c:pt idx="1">
                  <c:v>77.613240418118494</c:v>
                </c:pt>
                <c:pt idx="2">
                  <c:v>76.245847176079707</c:v>
                </c:pt>
                <c:pt idx="3">
                  <c:v>79.681274900398407</c:v>
                </c:pt>
                <c:pt idx="4">
                  <c:v>75.104427736006699</c:v>
                </c:pt>
                <c:pt idx="5">
                  <c:v>68.316831683168303</c:v>
                </c:pt>
                <c:pt idx="6">
                  <c:v>64.363030807660294</c:v>
                </c:pt>
                <c:pt idx="7">
                  <c:v>47.282051282051299</c:v>
                </c:pt>
                <c:pt idx="8">
                  <c:v>36.133600000000001</c:v>
                </c:pt>
                <c:pt idx="9">
                  <c:v>66.141729999999995</c:v>
                </c:pt>
                <c:pt idx="10">
                  <c:v>73.510000000000005</c:v>
                </c:pt>
                <c:pt idx="11">
                  <c:v>74.62</c:v>
                </c:pt>
              </c:numCache>
            </c:numRef>
          </c:val>
          <c:smooth val="0"/>
          <c:extLst>
            <c:ext xmlns:c16="http://schemas.microsoft.com/office/drawing/2014/chart" uri="{C3380CC4-5D6E-409C-BE32-E72D297353CC}">
              <c16:uniqueId val="{00000000-4C3D-443D-8C93-76932C57DD23}"/>
            </c:ext>
          </c:extLst>
        </c:ser>
        <c:ser>
          <c:idx val="1"/>
          <c:order val="1"/>
          <c:tx>
            <c:strRef>
              <c:f>CarePlan!$A$5</c:f>
              <c:strCache>
                <c:ptCount val="1"/>
                <c:pt idx="0">
                  <c:v>Cheshire and Merseyside ICB</c:v>
                </c:pt>
              </c:strCache>
            </c:strRef>
          </c:tx>
          <c:spPr>
            <a:ln w="28575" cap="rnd">
              <a:solidFill>
                <a:srgbClr val="0070C0"/>
              </a:solidFill>
              <a:round/>
            </a:ln>
            <a:effectLst/>
          </c:spPr>
          <c:marker>
            <c:symbol val="none"/>
          </c:marker>
          <c:cat>
            <c:strRef>
              <c:f>CarePlan!$B$3:$M$3</c:f>
              <c:strCache>
                <c:ptCount val="12"/>
                <c:pt idx="0">
                  <c:v>2013/14</c:v>
                </c:pt>
                <c:pt idx="1">
                  <c:v>2014/15</c:v>
                </c:pt>
                <c:pt idx="2">
                  <c:v>2015/16</c:v>
                </c:pt>
                <c:pt idx="3">
                  <c:v>2016/17</c:v>
                </c:pt>
                <c:pt idx="4">
                  <c:v>2017/18</c:v>
                </c:pt>
                <c:pt idx="5">
                  <c:v>2018/19</c:v>
                </c:pt>
                <c:pt idx="6">
                  <c:v>2019/20</c:v>
                </c:pt>
                <c:pt idx="7">
                  <c:v>2020/21</c:v>
                </c:pt>
                <c:pt idx="8">
                  <c:v>2021/22</c:v>
                </c:pt>
                <c:pt idx="9">
                  <c:v>2022/23</c:v>
                </c:pt>
                <c:pt idx="10">
                  <c:v>2023/24</c:v>
                </c:pt>
                <c:pt idx="11">
                  <c:v>2024/25</c:v>
                </c:pt>
              </c:strCache>
            </c:strRef>
          </c:cat>
          <c:val>
            <c:numRef>
              <c:f>CarePlan!$B$5:$M$5</c:f>
              <c:numCache>
                <c:formatCode>0.0</c:formatCode>
                <c:ptCount val="12"/>
                <c:pt idx="0">
                  <c:v>77.844931790709694</c:v>
                </c:pt>
                <c:pt idx="1">
                  <c:v>77.768518064611001</c:v>
                </c:pt>
                <c:pt idx="2">
                  <c:v>77.7632622591331</c:v>
                </c:pt>
                <c:pt idx="3">
                  <c:v>78.595332850940693</c:v>
                </c:pt>
                <c:pt idx="4">
                  <c:v>78.864008738394304</c:v>
                </c:pt>
                <c:pt idx="5">
                  <c:v>77.807895772308001</c:v>
                </c:pt>
                <c:pt idx="6">
                  <c:v>73.881436607529196</c:v>
                </c:pt>
                <c:pt idx="7">
                  <c:v>40.1878711184659</c:v>
                </c:pt>
                <c:pt idx="8">
                  <c:v>53.819929999999999</c:v>
                </c:pt>
                <c:pt idx="9">
                  <c:v>75.289280000000005</c:v>
                </c:pt>
                <c:pt idx="10">
                  <c:v>76.930000000000007</c:v>
                </c:pt>
                <c:pt idx="11">
                  <c:v>77.36</c:v>
                </c:pt>
              </c:numCache>
            </c:numRef>
          </c:val>
          <c:smooth val="0"/>
          <c:extLst>
            <c:ext xmlns:c16="http://schemas.microsoft.com/office/drawing/2014/chart" uri="{C3380CC4-5D6E-409C-BE32-E72D297353CC}">
              <c16:uniqueId val="{00000001-4C3D-443D-8C93-76932C57DD23}"/>
            </c:ext>
          </c:extLst>
        </c:ser>
        <c:ser>
          <c:idx val="2"/>
          <c:order val="2"/>
          <c:tx>
            <c:strRef>
              <c:f>CarePlan!$A$6</c:f>
              <c:strCache>
                <c:ptCount val="1"/>
                <c:pt idx="0">
                  <c:v>England</c:v>
                </c:pt>
              </c:strCache>
            </c:strRef>
          </c:tx>
          <c:spPr>
            <a:ln w="28575" cap="rnd">
              <a:solidFill>
                <a:schemeClr val="tx1"/>
              </a:solidFill>
              <a:round/>
            </a:ln>
            <a:effectLst/>
          </c:spPr>
          <c:marker>
            <c:symbol val="none"/>
          </c:marker>
          <c:cat>
            <c:strRef>
              <c:f>CarePlan!$B$3:$M$3</c:f>
              <c:strCache>
                <c:ptCount val="12"/>
                <c:pt idx="0">
                  <c:v>2013/14</c:v>
                </c:pt>
                <c:pt idx="1">
                  <c:v>2014/15</c:v>
                </c:pt>
                <c:pt idx="2">
                  <c:v>2015/16</c:v>
                </c:pt>
                <c:pt idx="3">
                  <c:v>2016/17</c:v>
                </c:pt>
                <c:pt idx="4">
                  <c:v>2017/18</c:v>
                </c:pt>
                <c:pt idx="5">
                  <c:v>2018/19</c:v>
                </c:pt>
                <c:pt idx="6">
                  <c:v>2019/20</c:v>
                </c:pt>
                <c:pt idx="7">
                  <c:v>2020/21</c:v>
                </c:pt>
                <c:pt idx="8">
                  <c:v>2021/22</c:v>
                </c:pt>
                <c:pt idx="9">
                  <c:v>2022/23</c:v>
                </c:pt>
                <c:pt idx="10">
                  <c:v>2023/24</c:v>
                </c:pt>
                <c:pt idx="11">
                  <c:v>2024/25</c:v>
                </c:pt>
              </c:strCache>
            </c:strRef>
          </c:cat>
          <c:val>
            <c:numRef>
              <c:f>CarePlan!$B$6:$M$6</c:f>
              <c:numCache>
                <c:formatCode>0.0</c:formatCode>
                <c:ptCount val="12"/>
                <c:pt idx="0">
                  <c:v>77.893487323879</c:v>
                </c:pt>
                <c:pt idx="1">
                  <c:v>77.034608100459295</c:v>
                </c:pt>
                <c:pt idx="2">
                  <c:v>78.082483528713993</c:v>
                </c:pt>
                <c:pt idx="3">
                  <c:v>78.061613061680703</c:v>
                </c:pt>
                <c:pt idx="4">
                  <c:v>77.497362709723404</c:v>
                </c:pt>
                <c:pt idx="5">
                  <c:v>77.9548852769381</c:v>
                </c:pt>
                <c:pt idx="6">
                  <c:v>74.963540876367702</c:v>
                </c:pt>
                <c:pt idx="7">
                  <c:v>39.655748663101598</c:v>
                </c:pt>
                <c:pt idx="8">
                  <c:v>52.086979999999997</c:v>
                </c:pt>
                <c:pt idx="9">
                  <c:v>73.647499999999994</c:v>
                </c:pt>
                <c:pt idx="10">
                  <c:v>75.53</c:v>
                </c:pt>
                <c:pt idx="11">
                  <c:v>76</c:v>
                </c:pt>
              </c:numCache>
            </c:numRef>
          </c:val>
          <c:smooth val="0"/>
          <c:extLst>
            <c:ext xmlns:c16="http://schemas.microsoft.com/office/drawing/2014/chart" uri="{C3380CC4-5D6E-409C-BE32-E72D297353CC}">
              <c16:uniqueId val="{00000002-4C3D-443D-8C93-76932C57DD23}"/>
            </c:ext>
          </c:extLst>
        </c:ser>
        <c:dLbls>
          <c:showLegendKey val="0"/>
          <c:showVal val="0"/>
          <c:showCatName val="0"/>
          <c:showSerName val="0"/>
          <c:showPercent val="0"/>
          <c:showBubbleSize val="0"/>
        </c:dLbls>
        <c:smooth val="0"/>
        <c:axId val="804215008"/>
        <c:axId val="804209248"/>
      </c:lineChart>
      <c:catAx>
        <c:axId val="80421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04209248"/>
        <c:crosses val="autoZero"/>
        <c:auto val="1"/>
        <c:lblAlgn val="ctr"/>
        <c:lblOffset val="100"/>
        <c:noMultiLvlLbl val="0"/>
      </c:catAx>
      <c:valAx>
        <c:axId val="80420924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GB"/>
                  <a:t>%</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0421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960" b="0" i="0" u="none" strike="noStrike" kern="1200" spc="0" baseline="0">
                <a:solidFill>
                  <a:schemeClr val="tx1">
                    <a:lumMod val="65000"/>
                    <a:lumOff val="35000"/>
                  </a:schemeClr>
                </a:solidFill>
                <a:latin typeface="+mn-lt"/>
                <a:ea typeface="+mn-ea"/>
                <a:cs typeface="+mn-cs"/>
              </a:defRPr>
            </a:pPr>
            <a:r>
              <a:rPr lang="en-GB"/>
              <a:t>% of patients diagnosed with Dementia whose care plan has been reviewed in the last 12 months</a:t>
            </a:r>
            <a:r>
              <a:rPr lang="en-US"/>
              <a:t>  </a:t>
            </a:r>
          </a:p>
        </c:rich>
      </c:tx>
      <c:overlay val="0"/>
      <c:spPr>
        <a:noFill/>
        <a:ln>
          <a:noFill/>
        </a:ln>
        <a:effectLst/>
      </c:spPr>
      <c:txPr>
        <a:bodyPr rot="0" spcFirstLastPara="1" vertOverflow="ellipsis" vert="horz" wrap="square" anchor="ctr" anchorCtr="1"/>
        <a:lstStyle/>
        <a:p>
          <a:pPr algn="ctr" rtl="0">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GPs</c:v>
          </c:tx>
          <c:spPr>
            <a:solidFill>
              <a:srgbClr val="0070C0"/>
            </a:solidFill>
            <a:ln>
              <a:solidFill>
                <a:srgbClr val="0070C0"/>
              </a:solidFill>
            </a:ln>
            <a:effectLst/>
          </c:spPr>
          <c:invertIfNegative val="0"/>
          <c:cat>
            <c:strRef>
              <c:f>GP_CarePlans_rev_24_25!$B$8:$B$30</c:f>
              <c:strCache>
                <c:ptCount val="23"/>
                <c:pt idx="0">
                  <c:v>Wingate Medical Centre</c:v>
                </c:pt>
                <c:pt idx="1">
                  <c:v>Stockbridge Village HC</c:v>
                </c:pt>
                <c:pt idx="2">
                  <c:v>Cornerways Medical Centre</c:v>
                </c:pt>
                <c:pt idx="3">
                  <c:v>Nutgrove Villa Surgery</c:v>
                </c:pt>
                <c:pt idx="4">
                  <c:v>Hillside House Surgery</c:v>
                </c:pt>
                <c:pt idx="5">
                  <c:v>Dinas Lane Medical Centre</c:v>
                </c:pt>
                <c:pt idx="6">
                  <c:v>Park House Medical Centre</c:v>
                </c:pt>
                <c:pt idx="7">
                  <c:v>Aston Healthcare Limited</c:v>
                </c:pt>
                <c:pt idx="8">
                  <c:v>Millbrook Medical Centre</c:v>
                </c:pt>
                <c:pt idx="9">
                  <c:v>Cedar Cross Medical Centre</c:v>
                </c:pt>
                <c:pt idx="10">
                  <c:v>Prescot Medical Centre</c:v>
                </c:pt>
                <c:pt idx="11">
                  <c:v>Hollies Medical Centre</c:v>
                </c:pt>
                <c:pt idx="12">
                  <c:v>The Health Centre Surgery</c:v>
                </c:pt>
                <c:pt idx="13">
                  <c:v>The Macmillan Surgery</c:v>
                </c:pt>
                <c:pt idx="14">
                  <c:v>Dr Maassarani &amp; Partners</c:v>
                </c:pt>
                <c:pt idx="15">
                  <c:v>Colby Medical Centre</c:v>
                </c:pt>
                <c:pt idx="16">
                  <c:v>Primrose Medical Practice</c:v>
                </c:pt>
                <c:pt idx="17">
                  <c:v>Roseheath Surgery</c:v>
                </c:pt>
                <c:pt idx="18">
                  <c:v>Longview Medical Centre</c:v>
                </c:pt>
                <c:pt idx="19">
                  <c:v>Roby Medical Centre</c:v>
                </c:pt>
                <c:pt idx="20">
                  <c:v>Dr M Suares' Practice</c:v>
                </c:pt>
                <c:pt idx="21">
                  <c:v>Tarbock Medical Centre</c:v>
                </c:pt>
                <c:pt idx="22">
                  <c:v>St. Laurence's Medical Centre</c:v>
                </c:pt>
              </c:strCache>
            </c:strRef>
          </c:cat>
          <c:val>
            <c:numRef>
              <c:f>GP_CarePlans_rev_24_25!$C$8:$C$30</c:f>
              <c:numCache>
                <c:formatCode>0.0%</c:formatCode>
                <c:ptCount val="23"/>
                <c:pt idx="0">
                  <c:v>0.50704225352112675</c:v>
                </c:pt>
                <c:pt idx="1">
                  <c:v>0.51219512195121952</c:v>
                </c:pt>
                <c:pt idx="2">
                  <c:v>0.63157894736842102</c:v>
                </c:pt>
                <c:pt idx="3">
                  <c:v>0.69565217391304346</c:v>
                </c:pt>
                <c:pt idx="4">
                  <c:v>0.7</c:v>
                </c:pt>
                <c:pt idx="5">
                  <c:v>0.71014492753623193</c:v>
                </c:pt>
                <c:pt idx="6">
                  <c:v>0.71111111111111114</c:v>
                </c:pt>
                <c:pt idx="7">
                  <c:v>0.72727272727272729</c:v>
                </c:pt>
                <c:pt idx="8">
                  <c:v>0.73417721518987344</c:v>
                </c:pt>
                <c:pt idx="9">
                  <c:v>0.75</c:v>
                </c:pt>
                <c:pt idx="10">
                  <c:v>0.75</c:v>
                </c:pt>
                <c:pt idx="11">
                  <c:v>0.76190476190476186</c:v>
                </c:pt>
                <c:pt idx="12">
                  <c:v>0.76190476190476186</c:v>
                </c:pt>
                <c:pt idx="13">
                  <c:v>0.76470588235294112</c:v>
                </c:pt>
                <c:pt idx="14">
                  <c:v>0.80882352941176483</c:v>
                </c:pt>
                <c:pt idx="15">
                  <c:v>0.81481481481481477</c:v>
                </c:pt>
                <c:pt idx="16">
                  <c:v>0.83333333333333348</c:v>
                </c:pt>
                <c:pt idx="17">
                  <c:v>0.8571428571428571</c:v>
                </c:pt>
                <c:pt idx="18">
                  <c:v>0.86363636363636365</c:v>
                </c:pt>
                <c:pt idx="19">
                  <c:v>0.88157894736842091</c:v>
                </c:pt>
                <c:pt idx="20">
                  <c:v>0.92307692307692302</c:v>
                </c:pt>
                <c:pt idx="21">
                  <c:v>0.93220338983050832</c:v>
                </c:pt>
                <c:pt idx="22">
                  <c:v>0.96296296296296291</c:v>
                </c:pt>
              </c:numCache>
            </c:numRef>
          </c:val>
          <c:extLst>
            <c:ext xmlns:c16="http://schemas.microsoft.com/office/drawing/2014/chart" uri="{C3380CC4-5D6E-409C-BE32-E72D297353CC}">
              <c16:uniqueId val="{00000000-295D-40ED-BFCA-5D52D4BA74E6}"/>
            </c:ext>
          </c:extLst>
        </c:ser>
        <c:dLbls>
          <c:showLegendKey val="0"/>
          <c:showVal val="0"/>
          <c:showCatName val="0"/>
          <c:showSerName val="0"/>
          <c:showPercent val="0"/>
          <c:showBubbleSize val="0"/>
        </c:dLbls>
        <c:gapWidth val="219"/>
        <c:axId val="829589424"/>
        <c:axId val="443032720"/>
      </c:barChart>
      <c:lineChart>
        <c:grouping val="standard"/>
        <c:varyColors val="0"/>
        <c:ser>
          <c:idx val="1"/>
          <c:order val="1"/>
          <c:tx>
            <c:strRef>
              <c:f>GP_Prev_24_25!$C$3</c:f>
              <c:strCache>
                <c:ptCount val="1"/>
                <c:pt idx="0">
                  <c:v>Knowsley Sub-ICB 01J </c:v>
                </c:pt>
              </c:strCache>
            </c:strRef>
          </c:tx>
          <c:spPr>
            <a:ln w="28575" cap="rnd">
              <a:solidFill>
                <a:srgbClr val="FF0000"/>
              </a:solidFill>
              <a:round/>
            </a:ln>
            <a:effectLst/>
          </c:spPr>
          <c:marker>
            <c:symbol val="none"/>
          </c:marker>
          <c:val>
            <c:numRef>
              <c:f>GP_CarePlans_rev_24_25!$D$8:$D$30</c:f>
              <c:numCache>
                <c:formatCode>0.0%</c:formatCode>
                <c:ptCount val="23"/>
                <c:pt idx="0">
                  <c:v>0.746</c:v>
                </c:pt>
                <c:pt idx="1">
                  <c:v>0.746</c:v>
                </c:pt>
                <c:pt idx="2">
                  <c:v>0.746</c:v>
                </c:pt>
                <c:pt idx="3">
                  <c:v>0.746</c:v>
                </c:pt>
                <c:pt idx="4">
                  <c:v>0.746</c:v>
                </c:pt>
                <c:pt idx="5">
                  <c:v>0.746</c:v>
                </c:pt>
                <c:pt idx="6">
                  <c:v>0.746</c:v>
                </c:pt>
                <c:pt idx="7">
                  <c:v>0.746</c:v>
                </c:pt>
                <c:pt idx="8">
                  <c:v>0.746</c:v>
                </c:pt>
                <c:pt idx="9">
                  <c:v>0.746</c:v>
                </c:pt>
                <c:pt idx="10">
                  <c:v>0.746</c:v>
                </c:pt>
                <c:pt idx="11">
                  <c:v>0.746</c:v>
                </c:pt>
                <c:pt idx="12">
                  <c:v>0.746</c:v>
                </c:pt>
                <c:pt idx="13">
                  <c:v>0.746</c:v>
                </c:pt>
                <c:pt idx="14">
                  <c:v>0.746</c:v>
                </c:pt>
                <c:pt idx="15">
                  <c:v>0.746</c:v>
                </c:pt>
                <c:pt idx="16">
                  <c:v>0.746</c:v>
                </c:pt>
                <c:pt idx="17">
                  <c:v>0.746</c:v>
                </c:pt>
                <c:pt idx="18">
                  <c:v>0.746</c:v>
                </c:pt>
                <c:pt idx="19">
                  <c:v>0.746</c:v>
                </c:pt>
                <c:pt idx="20">
                  <c:v>0.746</c:v>
                </c:pt>
                <c:pt idx="21">
                  <c:v>0.746</c:v>
                </c:pt>
                <c:pt idx="22">
                  <c:v>0.746</c:v>
                </c:pt>
              </c:numCache>
            </c:numRef>
          </c:val>
          <c:smooth val="0"/>
          <c:extLst>
            <c:ext xmlns:c16="http://schemas.microsoft.com/office/drawing/2014/chart" uri="{C3380CC4-5D6E-409C-BE32-E72D297353CC}">
              <c16:uniqueId val="{00000001-295D-40ED-BFCA-5D52D4BA74E6}"/>
            </c:ext>
          </c:extLst>
        </c:ser>
        <c:ser>
          <c:idx val="2"/>
          <c:order val="2"/>
          <c:tx>
            <c:strRef>
              <c:f>GP_Prev_24_25!$D$3</c:f>
              <c:strCache>
                <c:ptCount val="1"/>
                <c:pt idx="0">
                  <c:v>England </c:v>
                </c:pt>
              </c:strCache>
            </c:strRef>
          </c:tx>
          <c:spPr>
            <a:ln w="28575" cap="rnd">
              <a:solidFill>
                <a:sysClr val="windowText" lastClr="000000"/>
              </a:solidFill>
              <a:round/>
            </a:ln>
            <a:effectLst/>
          </c:spPr>
          <c:marker>
            <c:symbol val="none"/>
          </c:marker>
          <c:val>
            <c:numRef>
              <c:f>GP_CarePlans_rev_24_25!$E$8:$E$30</c:f>
              <c:numCache>
                <c:formatCode>0.0%</c:formatCode>
                <c:ptCount val="23"/>
                <c:pt idx="0">
                  <c:v>0.76</c:v>
                </c:pt>
                <c:pt idx="1">
                  <c:v>0.76</c:v>
                </c:pt>
                <c:pt idx="2">
                  <c:v>0.76</c:v>
                </c:pt>
                <c:pt idx="3">
                  <c:v>0.76</c:v>
                </c:pt>
                <c:pt idx="4">
                  <c:v>0.76</c:v>
                </c:pt>
                <c:pt idx="5">
                  <c:v>0.76</c:v>
                </c:pt>
                <c:pt idx="6">
                  <c:v>0.76</c:v>
                </c:pt>
                <c:pt idx="7">
                  <c:v>0.76</c:v>
                </c:pt>
                <c:pt idx="8">
                  <c:v>0.76</c:v>
                </c:pt>
                <c:pt idx="9">
                  <c:v>0.76</c:v>
                </c:pt>
                <c:pt idx="10">
                  <c:v>0.76</c:v>
                </c:pt>
                <c:pt idx="11">
                  <c:v>0.76</c:v>
                </c:pt>
                <c:pt idx="12">
                  <c:v>0.76</c:v>
                </c:pt>
                <c:pt idx="13">
                  <c:v>0.76</c:v>
                </c:pt>
                <c:pt idx="14">
                  <c:v>0.76</c:v>
                </c:pt>
                <c:pt idx="15">
                  <c:v>0.76</c:v>
                </c:pt>
                <c:pt idx="16">
                  <c:v>0.76</c:v>
                </c:pt>
                <c:pt idx="17">
                  <c:v>0.76</c:v>
                </c:pt>
                <c:pt idx="18">
                  <c:v>0.76</c:v>
                </c:pt>
                <c:pt idx="19">
                  <c:v>0.76</c:v>
                </c:pt>
                <c:pt idx="20">
                  <c:v>0.76</c:v>
                </c:pt>
                <c:pt idx="21">
                  <c:v>0.76</c:v>
                </c:pt>
                <c:pt idx="22">
                  <c:v>0.76</c:v>
                </c:pt>
              </c:numCache>
            </c:numRef>
          </c:val>
          <c:smooth val="0"/>
          <c:extLst>
            <c:ext xmlns:c16="http://schemas.microsoft.com/office/drawing/2014/chart" uri="{C3380CC4-5D6E-409C-BE32-E72D297353CC}">
              <c16:uniqueId val="{00000002-295D-40ED-BFCA-5D52D4BA74E6}"/>
            </c:ext>
          </c:extLst>
        </c:ser>
        <c:dLbls>
          <c:showLegendKey val="0"/>
          <c:showVal val="0"/>
          <c:showCatName val="0"/>
          <c:showSerName val="0"/>
          <c:showPercent val="0"/>
          <c:showBubbleSize val="0"/>
        </c:dLbls>
        <c:marker val="1"/>
        <c:smooth val="0"/>
        <c:axId val="829589424"/>
        <c:axId val="443032720"/>
      </c:lineChart>
      <c:catAx>
        <c:axId val="82958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43032720"/>
        <c:crosses val="autoZero"/>
        <c:auto val="1"/>
        <c:lblAlgn val="ctr"/>
        <c:lblOffset val="100"/>
        <c:noMultiLvlLbl val="0"/>
      </c:catAx>
      <c:valAx>
        <c:axId val="443032720"/>
        <c:scaling>
          <c:orientation val="minMax"/>
          <c:max val="1"/>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GB"/>
                  <a:t>%</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GB"/>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29589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GB"/>
              <a:t>Direct standardised rate of emergency admissions (aged 65 years and over)  - CCG responsibility</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Sheet7!$A$2</c:f>
              <c:strCache>
                <c:ptCount val="1"/>
                <c:pt idx="0">
                  <c:v>Knowsley (Sub ICB)</c:v>
                </c:pt>
              </c:strCache>
            </c:strRef>
          </c:tx>
          <c:spPr>
            <a:ln w="28575" cap="rnd">
              <a:solidFill>
                <a:srgbClr val="FF0000"/>
              </a:solidFill>
              <a:round/>
            </a:ln>
            <a:effectLst/>
          </c:spPr>
          <c:marker>
            <c:symbol val="none"/>
          </c:marker>
          <c:cat>
            <c:strRef>
              <c:f>Sheet7!$B$1:$E$1</c:f>
              <c:strCache>
                <c:ptCount val="4"/>
                <c:pt idx="0">
                  <c:v>2016/17</c:v>
                </c:pt>
                <c:pt idx="1">
                  <c:v>2017/18</c:v>
                </c:pt>
                <c:pt idx="2">
                  <c:v>2018/19</c:v>
                </c:pt>
                <c:pt idx="3">
                  <c:v>2019/20</c:v>
                </c:pt>
              </c:strCache>
            </c:strRef>
          </c:cat>
          <c:val>
            <c:numRef>
              <c:f>Sheet7!$B$2:$E$2</c:f>
              <c:numCache>
                <c:formatCode>0</c:formatCode>
                <c:ptCount val="4"/>
                <c:pt idx="0">
                  <c:v>5676.6713639999998</c:v>
                </c:pt>
                <c:pt idx="1">
                  <c:v>5712.3144566478204</c:v>
                </c:pt>
                <c:pt idx="2">
                  <c:v>5429.0338031353804</c:v>
                </c:pt>
                <c:pt idx="3">
                  <c:v>4998.3233692290496</c:v>
                </c:pt>
              </c:numCache>
            </c:numRef>
          </c:val>
          <c:smooth val="0"/>
          <c:extLst>
            <c:ext xmlns:c16="http://schemas.microsoft.com/office/drawing/2014/chart" uri="{C3380CC4-5D6E-409C-BE32-E72D297353CC}">
              <c16:uniqueId val="{00000000-31F9-46E3-B60A-F29D01A28FCE}"/>
            </c:ext>
          </c:extLst>
        </c:ser>
        <c:ser>
          <c:idx val="1"/>
          <c:order val="1"/>
          <c:tx>
            <c:strRef>
              <c:f>Sheet7!$A$3</c:f>
              <c:strCache>
                <c:ptCount val="1"/>
                <c:pt idx="0">
                  <c:v>Cheshire and Merseyside</c:v>
                </c:pt>
              </c:strCache>
            </c:strRef>
          </c:tx>
          <c:spPr>
            <a:ln w="28575" cap="rnd">
              <a:solidFill>
                <a:schemeClr val="accent1"/>
              </a:solidFill>
              <a:round/>
            </a:ln>
            <a:effectLst/>
          </c:spPr>
          <c:marker>
            <c:symbol val="none"/>
          </c:marker>
          <c:cat>
            <c:strRef>
              <c:f>Sheet7!$B$1:$E$1</c:f>
              <c:strCache>
                <c:ptCount val="4"/>
                <c:pt idx="0">
                  <c:v>2016/17</c:v>
                </c:pt>
                <c:pt idx="1">
                  <c:v>2017/18</c:v>
                </c:pt>
                <c:pt idx="2">
                  <c:v>2018/19</c:v>
                </c:pt>
                <c:pt idx="3">
                  <c:v>2019/20</c:v>
                </c:pt>
              </c:strCache>
            </c:strRef>
          </c:cat>
          <c:val>
            <c:numRef>
              <c:f>Sheet7!$B$3:$E$3</c:f>
              <c:numCache>
                <c:formatCode>0</c:formatCode>
                <c:ptCount val="4"/>
                <c:pt idx="0">
                  <c:v>3961.1552700000002</c:v>
                </c:pt>
                <c:pt idx="1">
                  <c:v>3885.8340867736201</c:v>
                </c:pt>
                <c:pt idx="2">
                  <c:v>3790.1921862512399</c:v>
                </c:pt>
                <c:pt idx="3">
                  <c:v>3814.31947930249</c:v>
                </c:pt>
              </c:numCache>
            </c:numRef>
          </c:val>
          <c:smooth val="0"/>
          <c:extLst>
            <c:ext xmlns:c16="http://schemas.microsoft.com/office/drawing/2014/chart" uri="{C3380CC4-5D6E-409C-BE32-E72D297353CC}">
              <c16:uniqueId val="{00000001-31F9-46E3-B60A-F29D01A28FCE}"/>
            </c:ext>
          </c:extLst>
        </c:ser>
        <c:ser>
          <c:idx val="2"/>
          <c:order val="2"/>
          <c:tx>
            <c:strRef>
              <c:f>Sheet7!$A$4</c:f>
              <c:strCache>
                <c:ptCount val="1"/>
                <c:pt idx="0">
                  <c:v>England</c:v>
                </c:pt>
              </c:strCache>
            </c:strRef>
          </c:tx>
          <c:spPr>
            <a:ln w="28575" cap="rnd">
              <a:solidFill>
                <a:schemeClr val="tx1"/>
              </a:solidFill>
              <a:round/>
            </a:ln>
            <a:effectLst/>
          </c:spPr>
          <c:marker>
            <c:symbol val="none"/>
          </c:marker>
          <c:cat>
            <c:strRef>
              <c:f>Sheet7!$B$1:$E$1</c:f>
              <c:strCache>
                <c:ptCount val="4"/>
                <c:pt idx="0">
                  <c:v>2016/17</c:v>
                </c:pt>
                <c:pt idx="1">
                  <c:v>2017/18</c:v>
                </c:pt>
                <c:pt idx="2">
                  <c:v>2018/19</c:v>
                </c:pt>
                <c:pt idx="3">
                  <c:v>2019/20</c:v>
                </c:pt>
              </c:strCache>
            </c:strRef>
          </c:cat>
          <c:val>
            <c:numRef>
              <c:f>Sheet7!$B$4:$E$4</c:f>
              <c:numCache>
                <c:formatCode>0</c:formatCode>
                <c:ptCount val="4"/>
                <c:pt idx="0">
                  <c:v>3364.6262689999999</c:v>
                </c:pt>
                <c:pt idx="1">
                  <c:v>3470.7605845800999</c:v>
                </c:pt>
                <c:pt idx="2">
                  <c:v>3479.7564755908502</c:v>
                </c:pt>
                <c:pt idx="3">
                  <c:v>3517.2804356633901</c:v>
                </c:pt>
              </c:numCache>
            </c:numRef>
          </c:val>
          <c:smooth val="0"/>
          <c:extLst>
            <c:ext xmlns:c16="http://schemas.microsoft.com/office/drawing/2014/chart" uri="{C3380CC4-5D6E-409C-BE32-E72D297353CC}">
              <c16:uniqueId val="{00000002-31F9-46E3-B60A-F29D01A28FCE}"/>
            </c:ext>
          </c:extLst>
        </c:ser>
        <c:dLbls>
          <c:showLegendKey val="0"/>
          <c:showVal val="0"/>
          <c:showCatName val="0"/>
          <c:showSerName val="0"/>
          <c:showPercent val="0"/>
          <c:showBubbleSize val="0"/>
        </c:dLbls>
        <c:smooth val="0"/>
        <c:axId val="374298272"/>
        <c:axId val="374297792"/>
      </c:lineChart>
      <c:catAx>
        <c:axId val="37429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74297792"/>
        <c:crosses val="autoZero"/>
        <c:auto val="1"/>
        <c:lblAlgn val="ctr"/>
        <c:lblOffset val="100"/>
        <c:noMultiLvlLbl val="0"/>
      </c:catAx>
      <c:valAx>
        <c:axId val="374297792"/>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GB"/>
                  <a:t>Directly age standardised rate per 100,000</a:t>
                </a:r>
              </a:p>
            </c:rich>
          </c:tx>
          <c:layout>
            <c:manualLayout>
              <c:xMode val="edge"/>
              <c:yMode val="edge"/>
              <c:x val="1.8637157833430402E-2"/>
              <c:y val="0.1118518518518518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GB"/>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7429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400" b="0" i="0" u="none" strike="noStrike" kern="1200" spc="0" baseline="0">
                <a:solidFill>
                  <a:sysClr val="windowText" lastClr="000000">
                    <a:lumMod val="65000"/>
                    <a:lumOff val="35000"/>
                  </a:sysClr>
                </a:solidFill>
              </a:rPr>
              <a:t>Dementia and Alzheimer's deaths in Knowsley</a:t>
            </a:r>
          </a:p>
        </c:rich>
      </c:tx>
      <c:layout>
        <c:manualLayout>
          <c:xMode val="edge"/>
          <c:yMode val="edge"/>
          <c:x val="0.1620971128608924"/>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0.18441447944007003"/>
          <c:y val="0.17171296296296296"/>
          <c:w val="0.78502996500437439"/>
          <c:h val="0.6153546952464275"/>
        </c:manualLayout>
      </c:layout>
      <c:lineChart>
        <c:grouping val="standard"/>
        <c:varyColors val="0"/>
        <c:ser>
          <c:idx val="1"/>
          <c:order val="0"/>
          <c:tx>
            <c:strRef>
              <c:f>Data!$F$34</c:f>
              <c:strCache>
                <c:ptCount val="1"/>
                <c:pt idx="0">
                  <c:v>Total</c:v>
                </c:pt>
              </c:strCache>
            </c:strRef>
          </c:tx>
          <c:spPr>
            <a:ln w="28575" cap="rnd">
              <a:solidFill>
                <a:schemeClr val="accent2"/>
              </a:solidFill>
              <a:round/>
            </a:ln>
            <a:effectLst/>
          </c:spPr>
          <c:marker>
            <c:symbol val="none"/>
          </c:marker>
          <c:cat>
            <c:numRef>
              <c:f>Data!$E$35:$E$45</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Data!$F$35:$F$45</c:f>
              <c:numCache>
                <c:formatCode>0.0%</c:formatCode>
                <c:ptCount val="11"/>
                <c:pt idx="0">
                  <c:v>8.9572192513368981E-2</c:v>
                </c:pt>
                <c:pt idx="1">
                  <c:v>0.1126005361930295</c:v>
                </c:pt>
                <c:pt idx="2">
                  <c:v>0.10943643512450851</c:v>
                </c:pt>
                <c:pt idx="3">
                  <c:v>0.10368519675202999</c:v>
                </c:pt>
                <c:pt idx="4">
                  <c:v>0.1191879502292076</c:v>
                </c:pt>
                <c:pt idx="5">
                  <c:v>0.1199502796768179</c:v>
                </c:pt>
                <c:pt idx="6">
                  <c:v>9.0684762492288712E-2</c:v>
                </c:pt>
                <c:pt idx="7">
                  <c:v>0.10497237569060773</c:v>
                </c:pt>
                <c:pt idx="8">
                  <c:v>8.2594235033259425E-2</c:v>
                </c:pt>
                <c:pt idx="9">
                  <c:v>7.077486272117145E-2</c:v>
                </c:pt>
                <c:pt idx="10">
                  <c:v>7.8096400244051248E-2</c:v>
                </c:pt>
              </c:numCache>
            </c:numRef>
          </c:val>
          <c:smooth val="0"/>
          <c:extLst>
            <c:ext xmlns:c16="http://schemas.microsoft.com/office/drawing/2014/chart" uri="{C3380CC4-5D6E-409C-BE32-E72D297353CC}">
              <c16:uniqueId val="{00000000-D492-4B6F-8603-563174FED1D3}"/>
            </c:ext>
          </c:extLst>
        </c:ser>
        <c:ser>
          <c:idx val="2"/>
          <c:order val="1"/>
          <c:tx>
            <c:strRef>
              <c:f>Data!$G$34</c:f>
              <c:strCache>
                <c:ptCount val="1"/>
                <c:pt idx="0">
                  <c:v>Male</c:v>
                </c:pt>
              </c:strCache>
            </c:strRef>
          </c:tx>
          <c:spPr>
            <a:ln w="28575" cap="rnd">
              <a:solidFill>
                <a:schemeClr val="accent3"/>
              </a:solidFill>
              <a:round/>
            </a:ln>
            <a:effectLst/>
          </c:spPr>
          <c:marker>
            <c:symbol val="none"/>
          </c:marker>
          <c:cat>
            <c:numRef>
              <c:f>Data!$E$35:$E$45</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Data!$G$35:$G$45</c:f>
              <c:numCache>
                <c:formatCode>0.0%</c:formatCode>
                <c:ptCount val="11"/>
                <c:pt idx="0">
                  <c:v>5.9310344827586209E-2</c:v>
                </c:pt>
                <c:pt idx="1">
                  <c:v>7.5630252100840331E-2</c:v>
                </c:pt>
                <c:pt idx="2">
                  <c:v>6.9863013698630141E-2</c:v>
                </c:pt>
                <c:pt idx="3">
                  <c:v>7.6923076923076927E-2</c:v>
                </c:pt>
                <c:pt idx="4">
                  <c:v>8.8977423638778225E-2</c:v>
                </c:pt>
                <c:pt idx="5">
                  <c:v>6.9462647444298822E-2</c:v>
                </c:pt>
                <c:pt idx="6">
                  <c:v>6.3225806451612909E-2</c:v>
                </c:pt>
                <c:pt idx="7">
                  <c:v>6.1784897025171627E-2</c:v>
                </c:pt>
                <c:pt idx="8">
                  <c:v>5.6338028169014086E-2</c:v>
                </c:pt>
                <c:pt idx="9">
                  <c:v>4.584882280049566E-2</c:v>
                </c:pt>
                <c:pt idx="10">
                  <c:v>6.8711656441717797E-2</c:v>
                </c:pt>
              </c:numCache>
            </c:numRef>
          </c:val>
          <c:smooth val="0"/>
          <c:extLst>
            <c:ext xmlns:c16="http://schemas.microsoft.com/office/drawing/2014/chart" uri="{C3380CC4-5D6E-409C-BE32-E72D297353CC}">
              <c16:uniqueId val="{00000001-D492-4B6F-8603-563174FED1D3}"/>
            </c:ext>
          </c:extLst>
        </c:ser>
        <c:ser>
          <c:idx val="3"/>
          <c:order val="2"/>
          <c:tx>
            <c:strRef>
              <c:f>Data!$H$34</c:f>
              <c:strCache>
                <c:ptCount val="1"/>
                <c:pt idx="0">
                  <c:v>Female</c:v>
                </c:pt>
              </c:strCache>
            </c:strRef>
          </c:tx>
          <c:spPr>
            <a:ln w="28575" cap="rnd">
              <a:solidFill>
                <a:schemeClr val="accent4"/>
              </a:solidFill>
              <a:round/>
            </a:ln>
            <a:effectLst/>
          </c:spPr>
          <c:marker>
            <c:symbol val="none"/>
          </c:marker>
          <c:cat>
            <c:numRef>
              <c:f>Data!$E$35:$E$45</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Data!$H$35:$H$45</c:f>
              <c:numCache>
                <c:formatCode>0.0%</c:formatCode>
                <c:ptCount val="11"/>
                <c:pt idx="0">
                  <c:v>0.11802853437094682</c:v>
                </c:pt>
                <c:pt idx="1">
                  <c:v>0.14652956298200515</c:v>
                </c:pt>
                <c:pt idx="2">
                  <c:v>0.14572864321608039</c:v>
                </c:pt>
                <c:pt idx="3">
                  <c:v>0.12911084043848964</c:v>
                </c:pt>
                <c:pt idx="4">
                  <c:v>0.14857881136950904</c:v>
                </c:pt>
                <c:pt idx="5">
                  <c:v>0.16548463356973994</c:v>
                </c:pt>
                <c:pt idx="6">
                  <c:v>0.11583924349881797</c:v>
                </c:pt>
                <c:pt idx="7">
                  <c:v>0.14529914529914531</c:v>
                </c:pt>
                <c:pt idx="8">
                  <c:v>0.10609243697478991</c:v>
                </c:pt>
                <c:pt idx="9">
                  <c:v>9.4951923076923073E-2</c:v>
                </c:pt>
                <c:pt idx="10">
                  <c:v>8.7378640776699032E-2</c:v>
                </c:pt>
              </c:numCache>
            </c:numRef>
          </c:val>
          <c:smooth val="0"/>
          <c:extLst>
            <c:ext xmlns:c16="http://schemas.microsoft.com/office/drawing/2014/chart" uri="{C3380CC4-5D6E-409C-BE32-E72D297353CC}">
              <c16:uniqueId val="{00000002-D492-4B6F-8603-563174FED1D3}"/>
            </c:ext>
          </c:extLst>
        </c:ser>
        <c:dLbls>
          <c:showLegendKey val="0"/>
          <c:showVal val="0"/>
          <c:showCatName val="0"/>
          <c:showSerName val="0"/>
          <c:showPercent val="0"/>
          <c:showBubbleSize val="0"/>
        </c:dLbls>
        <c:smooth val="0"/>
        <c:axId val="747652832"/>
        <c:axId val="747654272"/>
      </c:lineChart>
      <c:catAx>
        <c:axId val="74765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7654272"/>
        <c:crosses val="autoZero"/>
        <c:auto val="1"/>
        <c:lblAlgn val="ctr"/>
        <c:lblOffset val="100"/>
        <c:noMultiLvlLbl val="0"/>
      </c:catAx>
      <c:valAx>
        <c:axId val="747654272"/>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GB" sz="1000" b="0" i="0" u="none" strike="noStrike" kern="1200" baseline="0">
                    <a:solidFill>
                      <a:sysClr val="windowText" lastClr="000000">
                        <a:lumMod val="65000"/>
                        <a:lumOff val="35000"/>
                      </a:sysClr>
                    </a:solidFill>
                  </a:rPr>
                  <a:t>% of deaths that had the underlying cause of Dementia or Alzheimers</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layout>
            <c:manualLayout>
              <c:xMode val="edge"/>
              <c:yMode val="edge"/>
              <c:x val="3.0555555555555555E-2"/>
              <c:y val="0.13004629629629633"/>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7652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Sheet3!$B$16</c:f>
              <c:strCache>
                <c:ptCount val="1"/>
                <c:pt idx="0">
                  <c:v>Hospital</c:v>
                </c:pt>
              </c:strCache>
            </c:strRef>
          </c:tx>
          <c:spPr>
            <a:ln w="28575" cap="rnd">
              <a:solidFill>
                <a:schemeClr val="accent2"/>
              </a:solidFill>
              <a:round/>
            </a:ln>
            <a:effectLst/>
          </c:spPr>
          <c:marker>
            <c:symbol val="none"/>
          </c:marker>
          <c:cat>
            <c:numRef>
              <c:f>Sheet3!$A$17:$A$24</c:f>
              <c:numCache>
                <c:formatCode>General</c:formatCode>
                <c:ptCount val="8"/>
                <c:pt idx="0">
                  <c:v>2016</c:v>
                </c:pt>
                <c:pt idx="1">
                  <c:v>2017</c:v>
                </c:pt>
                <c:pt idx="2">
                  <c:v>2018</c:v>
                </c:pt>
                <c:pt idx="3">
                  <c:v>2019</c:v>
                </c:pt>
                <c:pt idx="4">
                  <c:v>2020</c:v>
                </c:pt>
                <c:pt idx="5">
                  <c:v>2021</c:v>
                </c:pt>
                <c:pt idx="6">
                  <c:v>2022</c:v>
                </c:pt>
                <c:pt idx="7">
                  <c:v>2023</c:v>
                </c:pt>
              </c:numCache>
            </c:numRef>
          </c:cat>
          <c:val>
            <c:numRef>
              <c:f>Sheet3!$B$17:$B$24</c:f>
              <c:numCache>
                <c:formatCode>0.00%</c:formatCode>
                <c:ptCount val="8"/>
                <c:pt idx="0">
                  <c:v>0.32500000000000001</c:v>
                </c:pt>
                <c:pt idx="1">
                  <c:v>0.37</c:v>
                </c:pt>
                <c:pt idx="2">
                  <c:v>0.38500000000000001</c:v>
                </c:pt>
                <c:pt idx="3">
                  <c:v>0.35199999999999998</c:v>
                </c:pt>
                <c:pt idx="4">
                  <c:v>0.35</c:v>
                </c:pt>
                <c:pt idx="5">
                  <c:v>0.41699999999999998</c:v>
                </c:pt>
                <c:pt idx="6">
                  <c:v>0.48699999999999999</c:v>
                </c:pt>
                <c:pt idx="7">
                  <c:v>0.42099999999999999</c:v>
                </c:pt>
              </c:numCache>
            </c:numRef>
          </c:val>
          <c:smooth val="0"/>
          <c:extLst>
            <c:ext xmlns:c16="http://schemas.microsoft.com/office/drawing/2014/chart" uri="{C3380CC4-5D6E-409C-BE32-E72D297353CC}">
              <c16:uniqueId val="{00000000-B7E5-47EC-B183-386F5B53326C}"/>
            </c:ext>
          </c:extLst>
        </c:ser>
        <c:ser>
          <c:idx val="2"/>
          <c:order val="1"/>
          <c:tx>
            <c:strRef>
              <c:f>Sheet3!$C$16</c:f>
              <c:strCache>
                <c:ptCount val="1"/>
                <c:pt idx="0">
                  <c:v>Care home</c:v>
                </c:pt>
              </c:strCache>
            </c:strRef>
          </c:tx>
          <c:spPr>
            <a:ln w="28575" cap="rnd">
              <a:solidFill>
                <a:schemeClr val="accent3"/>
              </a:solidFill>
              <a:round/>
            </a:ln>
            <a:effectLst/>
          </c:spPr>
          <c:marker>
            <c:symbol val="none"/>
          </c:marker>
          <c:cat>
            <c:numRef>
              <c:f>Sheet3!$A$17:$A$24</c:f>
              <c:numCache>
                <c:formatCode>General</c:formatCode>
                <c:ptCount val="8"/>
                <c:pt idx="0">
                  <c:v>2016</c:v>
                </c:pt>
                <c:pt idx="1">
                  <c:v>2017</c:v>
                </c:pt>
                <c:pt idx="2">
                  <c:v>2018</c:v>
                </c:pt>
                <c:pt idx="3">
                  <c:v>2019</c:v>
                </c:pt>
                <c:pt idx="4">
                  <c:v>2020</c:v>
                </c:pt>
                <c:pt idx="5">
                  <c:v>2021</c:v>
                </c:pt>
                <c:pt idx="6">
                  <c:v>2022</c:v>
                </c:pt>
                <c:pt idx="7">
                  <c:v>2023</c:v>
                </c:pt>
              </c:numCache>
            </c:numRef>
          </c:cat>
          <c:val>
            <c:numRef>
              <c:f>Sheet3!$C$17:$C$24</c:f>
              <c:numCache>
                <c:formatCode>0.00%</c:formatCode>
                <c:ptCount val="8"/>
                <c:pt idx="0">
                  <c:v>0.52900000000000003</c:v>
                </c:pt>
                <c:pt idx="1">
                  <c:v>0.48199999999999998</c:v>
                </c:pt>
                <c:pt idx="2">
                  <c:v>0.47499999999999998</c:v>
                </c:pt>
                <c:pt idx="3">
                  <c:v>0.503</c:v>
                </c:pt>
                <c:pt idx="4">
                  <c:v>0.46700000000000003</c:v>
                </c:pt>
                <c:pt idx="5">
                  <c:v>0.313</c:v>
                </c:pt>
                <c:pt idx="6">
                  <c:v>0.32400000000000001</c:v>
                </c:pt>
                <c:pt idx="7">
                  <c:v>0.36799999999999999</c:v>
                </c:pt>
              </c:numCache>
            </c:numRef>
          </c:val>
          <c:smooth val="0"/>
          <c:extLst>
            <c:ext xmlns:c16="http://schemas.microsoft.com/office/drawing/2014/chart" uri="{C3380CC4-5D6E-409C-BE32-E72D297353CC}">
              <c16:uniqueId val="{00000001-B7E5-47EC-B183-386F5B53326C}"/>
            </c:ext>
          </c:extLst>
        </c:ser>
        <c:ser>
          <c:idx val="3"/>
          <c:order val="2"/>
          <c:tx>
            <c:strRef>
              <c:f>Sheet3!$D$16</c:f>
              <c:strCache>
                <c:ptCount val="1"/>
                <c:pt idx="0">
                  <c:v>Home</c:v>
                </c:pt>
              </c:strCache>
            </c:strRef>
          </c:tx>
          <c:spPr>
            <a:ln w="28575" cap="rnd">
              <a:solidFill>
                <a:schemeClr val="accent4"/>
              </a:solidFill>
              <a:round/>
            </a:ln>
            <a:effectLst/>
          </c:spPr>
          <c:marker>
            <c:symbol val="none"/>
          </c:marker>
          <c:cat>
            <c:numRef>
              <c:f>Sheet3!$A$17:$A$24</c:f>
              <c:numCache>
                <c:formatCode>General</c:formatCode>
                <c:ptCount val="8"/>
                <c:pt idx="0">
                  <c:v>2016</c:v>
                </c:pt>
                <c:pt idx="1">
                  <c:v>2017</c:v>
                </c:pt>
                <c:pt idx="2">
                  <c:v>2018</c:v>
                </c:pt>
                <c:pt idx="3">
                  <c:v>2019</c:v>
                </c:pt>
                <c:pt idx="4">
                  <c:v>2020</c:v>
                </c:pt>
                <c:pt idx="5">
                  <c:v>2021</c:v>
                </c:pt>
                <c:pt idx="6">
                  <c:v>2022</c:v>
                </c:pt>
                <c:pt idx="7">
                  <c:v>2023</c:v>
                </c:pt>
              </c:numCache>
            </c:numRef>
          </c:cat>
          <c:val>
            <c:numRef>
              <c:f>Sheet3!$D$17:$D$24</c:f>
              <c:numCache>
                <c:formatCode>0.00%</c:formatCode>
                <c:ptCount val="8"/>
                <c:pt idx="0">
                  <c:v>0.129</c:v>
                </c:pt>
                <c:pt idx="1">
                  <c:v>0.13600000000000001</c:v>
                </c:pt>
                <c:pt idx="2">
                  <c:v>0.13200000000000001</c:v>
                </c:pt>
                <c:pt idx="3">
                  <c:v>0.11600000000000001</c:v>
                </c:pt>
                <c:pt idx="4">
                  <c:v>0.16700000000000001</c:v>
                </c:pt>
                <c:pt idx="5">
                  <c:v>0.25</c:v>
                </c:pt>
                <c:pt idx="6">
                  <c:v>0.16200000000000001</c:v>
                </c:pt>
                <c:pt idx="7">
                  <c:v>0.21099999999999999</c:v>
                </c:pt>
              </c:numCache>
            </c:numRef>
          </c:val>
          <c:smooth val="0"/>
          <c:extLst>
            <c:ext xmlns:c16="http://schemas.microsoft.com/office/drawing/2014/chart" uri="{C3380CC4-5D6E-409C-BE32-E72D297353CC}">
              <c16:uniqueId val="{00000002-B7E5-47EC-B183-386F5B53326C}"/>
            </c:ext>
          </c:extLst>
        </c:ser>
        <c:ser>
          <c:idx val="4"/>
          <c:order val="3"/>
          <c:tx>
            <c:strRef>
              <c:f>Sheet3!$E$16</c:f>
              <c:strCache>
                <c:ptCount val="1"/>
                <c:pt idx="0">
                  <c:v>Other places</c:v>
                </c:pt>
              </c:strCache>
            </c:strRef>
          </c:tx>
          <c:spPr>
            <a:ln w="28575" cap="rnd">
              <a:solidFill>
                <a:schemeClr val="accent5"/>
              </a:solidFill>
              <a:round/>
            </a:ln>
            <a:effectLst/>
          </c:spPr>
          <c:marker>
            <c:symbol val="none"/>
          </c:marker>
          <c:cat>
            <c:numRef>
              <c:f>Sheet3!$A$17:$A$24</c:f>
              <c:numCache>
                <c:formatCode>General</c:formatCode>
                <c:ptCount val="8"/>
                <c:pt idx="0">
                  <c:v>2016</c:v>
                </c:pt>
                <c:pt idx="1">
                  <c:v>2017</c:v>
                </c:pt>
                <c:pt idx="2">
                  <c:v>2018</c:v>
                </c:pt>
                <c:pt idx="3">
                  <c:v>2019</c:v>
                </c:pt>
                <c:pt idx="4">
                  <c:v>2020</c:v>
                </c:pt>
                <c:pt idx="5">
                  <c:v>2021</c:v>
                </c:pt>
                <c:pt idx="6">
                  <c:v>2022</c:v>
                </c:pt>
                <c:pt idx="7">
                  <c:v>2023</c:v>
                </c:pt>
              </c:numCache>
            </c:numRef>
          </c:cat>
          <c:val>
            <c:numRef>
              <c:f>Sheet3!$E$17:$E$24</c:f>
              <c:numCache>
                <c:formatCode>0.00%</c:formatCode>
                <c:ptCount val="8"/>
                <c:pt idx="0">
                  <c:v>1.6999999999999904E-2</c:v>
                </c:pt>
                <c:pt idx="1">
                  <c:v>1.2000000000000011E-2</c:v>
                </c:pt>
                <c:pt idx="2">
                  <c:v>8.0000000000000071E-3</c:v>
                </c:pt>
                <c:pt idx="3">
                  <c:v>2.9000000000000026E-2</c:v>
                </c:pt>
                <c:pt idx="4">
                  <c:v>1.6000000000000014E-2</c:v>
                </c:pt>
                <c:pt idx="5">
                  <c:v>2.0000000000000018E-2</c:v>
                </c:pt>
                <c:pt idx="6">
                  <c:v>2.7000000000000024E-2</c:v>
                </c:pt>
                <c:pt idx="7">
                  <c:v>1.1102230246251565E-16</c:v>
                </c:pt>
              </c:numCache>
            </c:numRef>
          </c:val>
          <c:smooth val="0"/>
          <c:extLst>
            <c:ext xmlns:c16="http://schemas.microsoft.com/office/drawing/2014/chart" uri="{C3380CC4-5D6E-409C-BE32-E72D297353CC}">
              <c16:uniqueId val="{00000003-B7E5-47EC-B183-386F5B53326C}"/>
            </c:ext>
          </c:extLst>
        </c:ser>
        <c:dLbls>
          <c:showLegendKey val="0"/>
          <c:showVal val="0"/>
          <c:showCatName val="0"/>
          <c:showSerName val="0"/>
          <c:showPercent val="0"/>
          <c:showBubbleSize val="0"/>
        </c:dLbls>
        <c:smooth val="0"/>
        <c:axId val="493269832"/>
        <c:axId val="802787904"/>
      </c:lineChart>
      <c:catAx>
        <c:axId val="493269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02787904"/>
        <c:crosses val="autoZero"/>
        <c:auto val="1"/>
        <c:lblAlgn val="ctr"/>
        <c:lblOffset val="100"/>
        <c:noMultiLvlLbl val="0"/>
      </c:catAx>
      <c:valAx>
        <c:axId val="80278790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493269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0F380794E3DF4BB1C17D8825ACD93E" ma:contentTypeVersion="16" ma:contentTypeDescription="Create a new document." ma:contentTypeScope="" ma:versionID="6c11a41d0ecf84fe3606c76deb7a1702">
  <xsd:schema xmlns:xsd="http://www.w3.org/2001/XMLSchema" xmlns:xs="http://www.w3.org/2001/XMLSchema" xmlns:p="http://schemas.microsoft.com/office/2006/metadata/properties" xmlns:ns2="81b38334-485f-4d20-9476-3bb94272ef12" xmlns:ns3="a78b882f-6979-4b92-9d6d-93c31e031fbf" targetNamespace="http://schemas.microsoft.com/office/2006/metadata/properties" ma:root="true" ma:fieldsID="ee6ccb0501016b0fd11aac83b55c5c82" ns2:_="" ns3:_="">
    <xsd:import namespace="81b38334-485f-4d20-9476-3bb94272ef12"/>
    <xsd:import namespace="a78b882f-6979-4b92-9d6d-93c31e031f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38334-485f-4d20-9476-3bb94272e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531d6a-dc9b-486f-9122-82211f9cf5a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8b882f-6979-4b92-9d6d-93c31e031f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711106-f990-44b5-aba1-33857f4f6b3f}" ma:internalName="TaxCatchAll" ma:showField="CatchAllData" ma:web="a78b882f-6979-4b92-9d6d-93c31e031f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b38334-485f-4d20-9476-3bb94272ef12">
      <Terms xmlns="http://schemas.microsoft.com/office/infopath/2007/PartnerControls"/>
    </lcf76f155ced4ddcb4097134ff3c332f>
    <TaxCatchAll xmlns="a78b882f-6979-4b92-9d6d-93c31e031fb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B01334-2C77-43D5-AEF9-3C8B43077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38334-485f-4d20-9476-3bb94272ef12"/>
    <ds:schemaRef ds:uri="a78b882f-6979-4b92-9d6d-93c31e031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F79319-5DE2-4425-BF8B-1DCC88E221FA}">
  <ds:schemaRefs>
    <ds:schemaRef ds:uri="http://schemas.microsoft.com/office/2006/metadata/properties"/>
    <ds:schemaRef ds:uri="http://schemas.microsoft.com/office/infopath/2007/PartnerControls"/>
    <ds:schemaRef ds:uri="81b38334-485f-4d20-9476-3bb94272ef12"/>
    <ds:schemaRef ds:uri="a78b882f-6979-4b92-9d6d-93c31e031fbf"/>
  </ds:schemaRefs>
</ds:datastoreItem>
</file>

<file path=customXml/itemProps3.xml><?xml version="1.0" encoding="utf-8"?>
<ds:datastoreItem xmlns:ds="http://schemas.openxmlformats.org/officeDocument/2006/customXml" ds:itemID="{D80C3715-C4CA-4E36-9AE4-96FCB62AC293}">
  <ds:schemaRefs>
    <ds:schemaRef ds:uri="http://schemas.openxmlformats.org/officeDocument/2006/bibliography"/>
  </ds:schemaRefs>
</ds:datastoreItem>
</file>

<file path=customXml/itemProps4.xml><?xml version="1.0" encoding="utf-8"?>
<ds:datastoreItem xmlns:ds="http://schemas.openxmlformats.org/officeDocument/2006/customXml" ds:itemID="{AAAC944A-52DC-4DC0-B1B0-E8B8053C3B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1</Pages>
  <Words>10031</Words>
  <Characters>57181</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KNOWSLEY INTELLIGENCE NETWORK</vt:lpstr>
    </vt:vector>
  </TitlesOfParts>
  <Company/>
  <LinksUpToDate>false</LinksUpToDate>
  <CharactersWithSpaces>67078</CharactersWithSpaces>
  <SharedDoc>false</SharedDoc>
  <HLinks>
    <vt:vector size="396" baseType="variant">
      <vt:variant>
        <vt:i4>1572932</vt:i4>
      </vt:variant>
      <vt:variant>
        <vt:i4>324</vt:i4>
      </vt:variant>
      <vt:variant>
        <vt:i4>0</vt:i4>
      </vt:variant>
      <vt:variant>
        <vt:i4>5</vt:i4>
      </vt:variant>
      <vt:variant>
        <vt:lpwstr>https://assets.publishing.service.gov.uk/media/5a7a03e040f0b66a2fbff464/EOLC_exec_summ.pdf</vt:lpwstr>
      </vt:variant>
      <vt:variant>
        <vt:lpwstr/>
      </vt:variant>
      <vt:variant>
        <vt:i4>4718614</vt:i4>
      </vt:variant>
      <vt:variant>
        <vt:i4>321</vt:i4>
      </vt:variant>
      <vt:variant>
        <vt:i4>0</vt:i4>
      </vt:variant>
      <vt:variant>
        <vt:i4>5</vt:i4>
      </vt:variant>
      <vt:variant>
        <vt:lpwstr>https://www.alzheimers.org.uk/about-dementia/managing-the-risk-of-dementia/risk-factors-for-dementia</vt:lpwstr>
      </vt:variant>
      <vt:variant>
        <vt:lpwstr/>
      </vt:variant>
      <vt:variant>
        <vt:i4>3473465</vt:i4>
      </vt:variant>
      <vt:variant>
        <vt:i4>318</vt:i4>
      </vt:variant>
      <vt:variant>
        <vt:i4>0</vt:i4>
      </vt:variant>
      <vt:variant>
        <vt:i4>5</vt:i4>
      </vt:variant>
      <vt:variant>
        <vt:lpwstr>https://www.aop.org.uk/ot/professional-support/clinical-and-regulatory/2024/08/06/untreated-vision-loss-and-high-cholesterol-added-as-modifiable-risk-factors-for-dementia</vt:lpwstr>
      </vt:variant>
      <vt:variant>
        <vt:lpwstr/>
      </vt:variant>
      <vt:variant>
        <vt:i4>6422648</vt:i4>
      </vt:variant>
      <vt:variant>
        <vt:i4>315</vt:i4>
      </vt:variant>
      <vt:variant>
        <vt:i4>0</vt:i4>
      </vt:variant>
      <vt:variant>
        <vt:i4>5</vt:i4>
      </vt:variant>
      <vt:variant>
        <vt:lpwstr>https://www.cqc.org.uk/about-us/transparency/using-cqc-data</vt:lpwstr>
      </vt:variant>
      <vt:variant>
        <vt:lpwstr/>
      </vt:variant>
      <vt:variant>
        <vt:i4>5111890</vt:i4>
      </vt:variant>
      <vt:variant>
        <vt:i4>312</vt:i4>
      </vt:variant>
      <vt:variant>
        <vt:i4>0</vt:i4>
      </vt:variant>
      <vt:variant>
        <vt:i4>5</vt:i4>
      </vt:variant>
      <vt:variant>
        <vt:lpwstr>https://www.thelancet.com/article/S0140-6736(20)30367-6/fulltext</vt:lpwstr>
      </vt:variant>
      <vt:variant>
        <vt:lpwstr/>
      </vt:variant>
      <vt:variant>
        <vt:i4>6225949</vt:i4>
      </vt:variant>
      <vt:variant>
        <vt:i4>309</vt:i4>
      </vt:variant>
      <vt:variant>
        <vt:i4>0</vt:i4>
      </vt:variant>
      <vt:variant>
        <vt:i4>5</vt:i4>
      </vt:variant>
      <vt:variant>
        <vt:lpwstr>https://digital.nhs.uk/data-and-information/publications/statistical/primary-care-dementia-data/february-2026</vt:lpwstr>
      </vt:variant>
      <vt:variant>
        <vt:lpwstr/>
      </vt:variant>
      <vt:variant>
        <vt:i4>5111892</vt:i4>
      </vt:variant>
      <vt:variant>
        <vt:i4>306</vt:i4>
      </vt:variant>
      <vt:variant>
        <vt:i4>0</vt:i4>
      </vt:variant>
      <vt:variant>
        <vt:i4>5</vt:i4>
      </vt:variant>
      <vt:variant>
        <vt:lpwstr>https://www.poppi.org.uk/</vt:lpwstr>
      </vt:variant>
      <vt:variant>
        <vt:lpwstr/>
      </vt:variant>
      <vt:variant>
        <vt:i4>1900568</vt:i4>
      </vt:variant>
      <vt:variant>
        <vt:i4>303</vt:i4>
      </vt:variant>
      <vt:variant>
        <vt:i4>0</vt:i4>
      </vt:variant>
      <vt:variant>
        <vt:i4>5</vt:i4>
      </vt:variant>
      <vt:variant>
        <vt:lpwstr>https://dementiastatistics.org/about-dementia/prevalence-and-incidence/</vt:lpwstr>
      </vt:variant>
      <vt:variant>
        <vt:lpwstr>:~:text=The%20number%20of%20people%20living,to%20rise%20to%201.4%20million.</vt:lpwstr>
      </vt:variant>
      <vt:variant>
        <vt:i4>524347</vt:i4>
      </vt:variant>
      <vt:variant>
        <vt:i4>300</vt:i4>
      </vt:variant>
      <vt:variant>
        <vt:i4>0</vt:i4>
      </vt:variant>
      <vt:variant>
        <vt:i4>5</vt:i4>
      </vt:variant>
      <vt:variant>
        <vt:lpwstr>https://www.carersuk.org/media/xgwlj0gn/soc23-health-report_web.pdf</vt:lpwstr>
      </vt:variant>
      <vt:variant>
        <vt:lpwstr/>
      </vt:variant>
      <vt:variant>
        <vt:i4>196682</vt:i4>
      </vt:variant>
      <vt:variant>
        <vt:i4>297</vt:i4>
      </vt:variant>
      <vt:variant>
        <vt:i4>0</vt:i4>
      </vt:variant>
      <vt:variant>
        <vt:i4>5</vt:i4>
      </vt:variant>
      <vt:variant>
        <vt:lpwstr>https://www.alzheimers.org.uk/about-dementia/types-dementia/young-onset-dementia</vt:lpwstr>
      </vt:variant>
      <vt:variant>
        <vt:lpwstr>:~:text=When%20a%20person%20develops%20dementia,the%20early%20stages%20of%20dementia.</vt:lpwstr>
      </vt:variant>
      <vt:variant>
        <vt:i4>3080289</vt:i4>
      </vt:variant>
      <vt:variant>
        <vt:i4>294</vt:i4>
      </vt:variant>
      <vt:variant>
        <vt:i4>0</vt:i4>
      </vt:variant>
      <vt:variant>
        <vt:i4>5</vt:i4>
      </vt:variant>
      <vt:variant>
        <vt:lpwstr>https://www.alzheimers.org.uk/about-dementia/risk-factors-and-prevention/is-dementia-hereditary</vt:lpwstr>
      </vt:variant>
      <vt:variant>
        <vt:lpwstr/>
      </vt:variant>
      <vt:variant>
        <vt:i4>2883687</vt:i4>
      </vt:variant>
      <vt:variant>
        <vt:i4>291</vt:i4>
      </vt:variant>
      <vt:variant>
        <vt:i4>0</vt:i4>
      </vt:variant>
      <vt:variant>
        <vt:i4>5</vt:i4>
      </vt:variant>
      <vt:variant>
        <vt:lpwstr>https://www.alzheimers.org.uk/about-us/policy-and-influencing/dementia-scale-impact-numbers</vt:lpwstr>
      </vt:variant>
      <vt:variant>
        <vt:lpwstr/>
      </vt:variant>
      <vt:variant>
        <vt:i4>6553700</vt:i4>
      </vt:variant>
      <vt:variant>
        <vt:i4>288</vt:i4>
      </vt:variant>
      <vt:variant>
        <vt:i4>0</vt:i4>
      </vt:variant>
      <vt:variant>
        <vt:i4>5</vt:i4>
      </vt:variant>
      <vt:variant>
        <vt:lpwstr>https://knowsleycouncil-my.sharepoint.com/personal/matthew_grace_knowsley_gov_uk/Documents/Dementia/www.nomisweb.co.uk</vt:lpwstr>
      </vt:variant>
      <vt:variant>
        <vt:lpwstr/>
      </vt:variant>
      <vt:variant>
        <vt:i4>3801125</vt:i4>
      </vt:variant>
      <vt:variant>
        <vt:i4>285</vt:i4>
      </vt:variant>
      <vt:variant>
        <vt:i4>0</vt:i4>
      </vt:variant>
      <vt:variant>
        <vt:i4>5</vt:i4>
      </vt:variant>
      <vt:variant>
        <vt:lpwstr>https://www.alzheimersresearchuk.org/news/dementia-leading-cause-of-death-in-2022/</vt:lpwstr>
      </vt:variant>
      <vt:variant>
        <vt:lpwstr>:~:text=The%20Office%20for%20National%20Statistics,61%2C250%20(10.4%25)%20in%202021.</vt:lpwstr>
      </vt:variant>
      <vt:variant>
        <vt:i4>7864377</vt:i4>
      </vt:variant>
      <vt:variant>
        <vt:i4>282</vt:i4>
      </vt:variant>
      <vt:variant>
        <vt:i4>0</vt:i4>
      </vt:variant>
      <vt:variant>
        <vt:i4>5</vt:i4>
      </vt:variant>
      <vt:variant>
        <vt:lpwstr>https://www.alzheimers.org.uk/blog/how-many-people-have-dementia-uk</vt:lpwstr>
      </vt:variant>
      <vt:variant>
        <vt:lpwstr/>
      </vt:variant>
      <vt:variant>
        <vt:i4>3538995</vt:i4>
      </vt:variant>
      <vt:variant>
        <vt:i4>279</vt:i4>
      </vt:variant>
      <vt:variant>
        <vt:i4>0</vt:i4>
      </vt:variant>
      <vt:variant>
        <vt:i4>5</vt:i4>
      </vt:variant>
      <vt:variant>
        <vt:lpwstr>https://www.alzheimers.org.uk/get-support/daily-living</vt:lpwstr>
      </vt:variant>
      <vt:variant>
        <vt:lpwstr/>
      </vt:variant>
      <vt:variant>
        <vt:i4>3932223</vt:i4>
      </vt:variant>
      <vt:variant>
        <vt:i4>276</vt:i4>
      </vt:variant>
      <vt:variant>
        <vt:i4>0</vt:i4>
      </vt:variant>
      <vt:variant>
        <vt:i4>5</vt:i4>
      </vt:variant>
      <vt:variant>
        <vt:lpwstr>https://www.nationalarchives.gov.uk/doc/open-government-licence/version/3/</vt:lpwstr>
      </vt:variant>
      <vt:variant>
        <vt:lpwstr/>
      </vt:variant>
      <vt:variant>
        <vt:i4>5439504</vt:i4>
      </vt:variant>
      <vt:variant>
        <vt:i4>273</vt:i4>
      </vt:variant>
      <vt:variant>
        <vt:i4>0</vt:i4>
      </vt:variant>
      <vt:variant>
        <vt:i4>5</vt:i4>
      </vt:variant>
      <vt:variant>
        <vt:lpwstr>https://www.nice.org.uk/guidance/ng16</vt:lpwstr>
      </vt:variant>
      <vt:variant>
        <vt:lpwstr/>
      </vt:variant>
      <vt:variant>
        <vt:i4>5111812</vt:i4>
      </vt:variant>
      <vt:variant>
        <vt:i4>270</vt:i4>
      </vt:variant>
      <vt:variant>
        <vt:i4>0</vt:i4>
      </vt:variant>
      <vt:variant>
        <vt:i4>5</vt:i4>
      </vt:variant>
      <vt:variant>
        <vt:lpwstr>https://www.nice.org.uk/guidance/qs30</vt:lpwstr>
      </vt:variant>
      <vt:variant>
        <vt:lpwstr/>
      </vt:variant>
      <vt:variant>
        <vt:i4>5963792</vt:i4>
      </vt:variant>
      <vt:variant>
        <vt:i4>267</vt:i4>
      </vt:variant>
      <vt:variant>
        <vt:i4>0</vt:i4>
      </vt:variant>
      <vt:variant>
        <vt:i4>5</vt:i4>
      </vt:variant>
      <vt:variant>
        <vt:lpwstr>https://www.nice.org.uk/guidance/ng97</vt:lpwstr>
      </vt:variant>
      <vt:variant>
        <vt:lpwstr/>
      </vt:variant>
      <vt:variant>
        <vt:i4>1114130</vt:i4>
      </vt:variant>
      <vt:variant>
        <vt:i4>264</vt:i4>
      </vt:variant>
      <vt:variant>
        <vt:i4>0</vt:i4>
      </vt:variant>
      <vt:variant>
        <vt:i4>5</vt:i4>
      </vt:variant>
      <vt:variant>
        <vt:lpwstr>http://www.alzheimersresearchuk.org/about-us/policies-reports/women-and-dementia/</vt:lpwstr>
      </vt:variant>
      <vt:variant>
        <vt:lpwstr/>
      </vt:variant>
      <vt:variant>
        <vt:i4>8257649</vt:i4>
      </vt:variant>
      <vt:variant>
        <vt:i4>261</vt:i4>
      </vt:variant>
      <vt:variant>
        <vt:i4>0</vt:i4>
      </vt:variant>
      <vt:variant>
        <vt:i4>5</vt:i4>
      </vt:variant>
      <vt:variant>
        <vt:lpwstr>https://www.alzheimers.org.uk/site/scripts/documents.php?categoryID=200363</vt:lpwstr>
      </vt:variant>
      <vt:variant>
        <vt:lpwstr/>
      </vt:variant>
      <vt:variant>
        <vt:i4>1245232</vt:i4>
      </vt:variant>
      <vt:variant>
        <vt:i4>254</vt:i4>
      </vt:variant>
      <vt:variant>
        <vt:i4>0</vt:i4>
      </vt:variant>
      <vt:variant>
        <vt:i4>5</vt:i4>
      </vt:variant>
      <vt:variant>
        <vt:lpwstr/>
      </vt:variant>
      <vt:variant>
        <vt:lpwstr>_Toc212645463</vt:lpwstr>
      </vt:variant>
      <vt:variant>
        <vt:i4>1245232</vt:i4>
      </vt:variant>
      <vt:variant>
        <vt:i4>248</vt:i4>
      </vt:variant>
      <vt:variant>
        <vt:i4>0</vt:i4>
      </vt:variant>
      <vt:variant>
        <vt:i4>5</vt:i4>
      </vt:variant>
      <vt:variant>
        <vt:lpwstr/>
      </vt:variant>
      <vt:variant>
        <vt:lpwstr>_Toc212645462</vt:lpwstr>
      </vt:variant>
      <vt:variant>
        <vt:i4>1245232</vt:i4>
      </vt:variant>
      <vt:variant>
        <vt:i4>242</vt:i4>
      </vt:variant>
      <vt:variant>
        <vt:i4>0</vt:i4>
      </vt:variant>
      <vt:variant>
        <vt:i4>5</vt:i4>
      </vt:variant>
      <vt:variant>
        <vt:lpwstr/>
      </vt:variant>
      <vt:variant>
        <vt:lpwstr>_Toc212645461</vt:lpwstr>
      </vt:variant>
      <vt:variant>
        <vt:i4>1245232</vt:i4>
      </vt:variant>
      <vt:variant>
        <vt:i4>236</vt:i4>
      </vt:variant>
      <vt:variant>
        <vt:i4>0</vt:i4>
      </vt:variant>
      <vt:variant>
        <vt:i4>5</vt:i4>
      </vt:variant>
      <vt:variant>
        <vt:lpwstr/>
      </vt:variant>
      <vt:variant>
        <vt:lpwstr>_Toc212645460</vt:lpwstr>
      </vt:variant>
      <vt:variant>
        <vt:i4>1048624</vt:i4>
      </vt:variant>
      <vt:variant>
        <vt:i4>230</vt:i4>
      </vt:variant>
      <vt:variant>
        <vt:i4>0</vt:i4>
      </vt:variant>
      <vt:variant>
        <vt:i4>5</vt:i4>
      </vt:variant>
      <vt:variant>
        <vt:lpwstr/>
      </vt:variant>
      <vt:variant>
        <vt:lpwstr>_Toc212645459</vt:lpwstr>
      </vt:variant>
      <vt:variant>
        <vt:i4>1048624</vt:i4>
      </vt:variant>
      <vt:variant>
        <vt:i4>224</vt:i4>
      </vt:variant>
      <vt:variant>
        <vt:i4>0</vt:i4>
      </vt:variant>
      <vt:variant>
        <vt:i4>5</vt:i4>
      </vt:variant>
      <vt:variant>
        <vt:lpwstr/>
      </vt:variant>
      <vt:variant>
        <vt:lpwstr>_Toc212645458</vt:lpwstr>
      </vt:variant>
      <vt:variant>
        <vt:i4>1048624</vt:i4>
      </vt:variant>
      <vt:variant>
        <vt:i4>218</vt:i4>
      </vt:variant>
      <vt:variant>
        <vt:i4>0</vt:i4>
      </vt:variant>
      <vt:variant>
        <vt:i4>5</vt:i4>
      </vt:variant>
      <vt:variant>
        <vt:lpwstr/>
      </vt:variant>
      <vt:variant>
        <vt:lpwstr>_Toc212645457</vt:lpwstr>
      </vt:variant>
      <vt:variant>
        <vt:i4>1048624</vt:i4>
      </vt:variant>
      <vt:variant>
        <vt:i4>212</vt:i4>
      </vt:variant>
      <vt:variant>
        <vt:i4>0</vt:i4>
      </vt:variant>
      <vt:variant>
        <vt:i4>5</vt:i4>
      </vt:variant>
      <vt:variant>
        <vt:lpwstr/>
      </vt:variant>
      <vt:variant>
        <vt:lpwstr>_Toc212645456</vt:lpwstr>
      </vt:variant>
      <vt:variant>
        <vt:i4>1048624</vt:i4>
      </vt:variant>
      <vt:variant>
        <vt:i4>206</vt:i4>
      </vt:variant>
      <vt:variant>
        <vt:i4>0</vt:i4>
      </vt:variant>
      <vt:variant>
        <vt:i4>5</vt:i4>
      </vt:variant>
      <vt:variant>
        <vt:lpwstr/>
      </vt:variant>
      <vt:variant>
        <vt:lpwstr>_Toc212645455</vt:lpwstr>
      </vt:variant>
      <vt:variant>
        <vt:i4>1048624</vt:i4>
      </vt:variant>
      <vt:variant>
        <vt:i4>200</vt:i4>
      </vt:variant>
      <vt:variant>
        <vt:i4>0</vt:i4>
      </vt:variant>
      <vt:variant>
        <vt:i4>5</vt:i4>
      </vt:variant>
      <vt:variant>
        <vt:lpwstr/>
      </vt:variant>
      <vt:variant>
        <vt:lpwstr>_Toc212645454</vt:lpwstr>
      </vt:variant>
      <vt:variant>
        <vt:i4>1048624</vt:i4>
      </vt:variant>
      <vt:variant>
        <vt:i4>194</vt:i4>
      </vt:variant>
      <vt:variant>
        <vt:i4>0</vt:i4>
      </vt:variant>
      <vt:variant>
        <vt:i4>5</vt:i4>
      </vt:variant>
      <vt:variant>
        <vt:lpwstr/>
      </vt:variant>
      <vt:variant>
        <vt:lpwstr>_Toc212645453</vt:lpwstr>
      </vt:variant>
      <vt:variant>
        <vt:i4>1048624</vt:i4>
      </vt:variant>
      <vt:variant>
        <vt:i4>188</vt:i4>
      </vt:variant>
      <vt:variant>
        <vt:i4>0</vt:i4>
      </vt:variant>
      <vt:variant>
        <vt:i4>5</vt:i4>
      </vt:variant>
      <vt:variant>
        <vt:lpwstr/>
      </vt:variant>
      <vt:variant>
        <vt:lpwstr>_Toc212645452</vt:lpwstr>
      </vt:variant>
      <vt:variant>
        <vt:i4>1048624</vt:i4>
      </vt:variant>
      <vt:variant>
        <vt:i4>182</vt:i4>
      </vt:variant>
      <vt:variant>
        <vt:i4>0</vt:i4>
      </vt:variant>
      <vt:variant>
        <vt:i4>5</vt:i4>
      </vt:variant>
      <vt:variant>
        <vt:lpwstr/>
      </vt:variant>
      <vt:variant>
        <vt:lpwstr>_Toc212645451</vt:lpwstr>
      </vt:variant>
      <vt:variant>
        <vt:i4>1048624</vt:i4>
      </vt:variant>
      <vt:variant>
        <vt:i4>176</vt:i4>
      </vt:variant>
      <vt:variant>
        <vt:i4>0</vt:i4>
      </vt:variant>
      <vt:variant>
        <vt:i4>5</vt:i4>
      </vt:variant>
      <vt:variant>
        <vt:lpwstr/>
      </vt:variant>
      <vt:variant>
        <vt:lpwstr>_Toc212645450</vt:lpwstr>
      </vt:variant>
      <vt:variant>
        <vt:i4>1114160</vt:i4>
      </vt:variant>
      <vt:variant>
        <vt:i4>170</vt:i4>
      </vt:variant>
      <vt:variant>
        <vt:i4>0</vt:i4>
      </vt:variant>
      <vt:variant>
        <vt:i4>5</vt:i4>
      </vt:variant>
      <vt:variant>
        <vt:lpwstr/>
      </vt:variant>
      <vt:variant>
        <vt:lpwstr>_Toc212645449</vt:lpwstr>
      </vt:variant>
      <vt:variant>
        <vt:i4>1114160</vt:i4>
      </vt:variant>
      <vt:variant>
        <vt:i4>164</vt:i4>
      </vt:variant>
      <vt:variant>
        <vt:i4>0</vt:i4>
      </vt:variant>
      <vt:variant>
        <vt:i4>5</vt:i4>
      </vt:variant>
      <vt:variant>
        <vt:lpwstr/>
      </vt:variant>
      <vt:variant>
        <vt:lpwstr>_Toc212645448</vt:lpwstr>
      </vt:variant>
      <vt:variant>
        <vt:i4>1114160</vt:i4>
      </vt:variant>
      <vt:variant>
        <vt:i4>158</vt:i4>
      </vt:variant>
      <vt:variant>
        <vt:i4>0</vt:i4>
      </vt:variant>
      <vt:variant>
        <vt:i4>5</vt:i4>
      </vt:variant>
      <vt:variant>
        <vt:lpwstr/>
      </vt:variant>
      <vt:variant>
        <vt:lpwstr>_Toc212645447</vt:lpwstr>
      </vt:variant>
      <vt:variant>
        <vt:i4>1114160</vt:i4>
      </vt:variant>
      <vt:variant>
        <vt:i4>152</vt:i4>
      </vt:variant>
      <vt:variant>
        <vt:i4>0</vt:i4>
      </vt:variant>
      <vt:variant>
        <vt:i4>5</vt:i4>
      </vt:variant>
      <vt:variant>
        <vt:lpwstr/>
      </vt:variant>
      <vt:variant>
        <vt:lpwstr>_Toc212645446</vt:lpwstr>
      </vt:variant>
      <vt:variant>
        <vt:i4>1114160</vt:i4>
      </vt:variant>
      <vt:variant>
        <vt:i4>146</vt:i4>
      </vt:variant>
      <vt:variant>
        <vt:i4>0</vt:i4>
      </vt:variant>
      <vt:variant>
        <vt:i4>5</vt:i4>
      </vt:variant>
      <vt:variant>
        <vt:lpwstr/>
      </vt:variant>
      <vt:variant>
        <vt:lpwstr>_Toc212645445</vt:lpwstr>
      </vt:variant>
      <vt:variant>
        <vt:i4>1114160</vt:i4>
      </vt:variant>
      <vt:variant>
        <vt:i4>140</vt:i4>
      </vt:variant>
      <vt:variant>
        <vt:i4>0</vt:i4>
      </vt:variant>
      <vt:variant>
        <vt:i4>5</vt:i4>
      </vt:variant>
      <vt:variant>
        <vt:lpwstr/>
      </vt:variant>
      <vt:variant>
        <vt:lpwstr>_Toc212645444</vt:lpwstr>
      </vt:variant>
      <vt:variant>
        <vt:i4>1114160</vt:i4>
      </vt:variant>
      <vt:variant>
        <vt:i4>134</vt:i4>
      </vt:variant>
      <vt:variant>
        <vt:i4>0</vt:i4>
      </vt:variant>
      <vt:variant>
        <vt:i4>5</vt:i4>
      </vt:variant>
      <vt:variant>
        <vt:lpwstr/>
      </vt:variant>
      <vt:variant>
        <vt:lpwstr>_Toc212645443</vt:lpwstr>
      </vt:variant>
      <vt:variant>
        <vt:i4>1114160</vt:i4>
      </vt:variant>
      <vt:variant>
        <vt:i4>128</vt:i4>
      </vt:variant>
      <vt:variant>
        <vt:i4>0</vt:i4>
      </vt:variant>
      <vt:variant>
        <vt:i4>5</vt:i4>
      </vt:variant>
      <vt:variant>
        <vt:lpwstr/>
      </vt:variant>
      <vt:variant>
        <vt:lpwstr>_Toc212645442</vt:lpwstr>
      </vt:variant>
      <vt:variant>
        <vt:i4>1114160</vt:i4>
      </vt:variant>
      <vt:variant>
        <vt:i4>122</vt:i4>
      </vt:variant>
      <vt:variant>
        <vt:i4>0</vt:i4>
      </vt:variant>
      <vt:variant>
        <vt:i4>5</vt:i4>
      </vt:variant>
      <vt:variant>
        <vt:lpwstr/>
      </vt:variant>
      <vt:variant>
        <vt:lpwstr>_Toc212645441</vt:lpwstr>
      </vt:variant>
      <vt:variant>
        <vt:i4>1114160</vt:i4>
      </vt:variant>
      <vt:variant>
        <vt:i4>116</vt:i4>
      </vt:variant>
      <vt:variant>
        <vt:i4>0</vt:i4>
      </vt:variant>
      <vt:variant>
        <vt:i4>5</vt:i4>
      </vt:variant>
      <vt:variant>
        <vt:lpwstr/>
      </vt:variant>
      <vt:variant>
        <vt:lpwstr>_Toc212645440</vt:lpwstr>
      </vt:variant>
      <vt:variant>
        <vt:i4>1441840</vt:i4>
      </vt:variant>
      <vt:variant>
        <vt:i4>110</vt:i4>
      </vt:variant>
      <vt:variant>
        <vt:i4>0</vt:i4>
      </vt:variant>
      <vt:variant>
        <vt:i4>5</vt:i4>
      </vt:variant>
      <vt:variant>
        <vt:lpwstr/>
      </vt:variant>
      <vt:variant>
        <vt:lpwstr>_Toc212645439</vt:lpwstr>
      </vt:variant>
      <vt:variant>
        <vt:i4>1441840</vt:i4>
      </vt:variant>
      <vt:variant>
        <vt:i4>104</vt:i4>
      </vt:variant>
      <vt:variant>
        <vt:i4>0</vt:i4>
      </vt:variant>
      <vt:variant>
        <vt:i4>5</vt:i4>
      </vt:variant>
      <vt:variant>
        <vt:lpwstr/>
      </vt:variant>
      <vt:variant>
        <vt:lpwstr>_Toc212645438</vt:lpwstr>
      </vt:variant>
      <vt:variant>
        <vt:i4>1441840</vt:i4>
      </vt:variant>
      <vt:variant>
        <vt:i4>98</vt:i4>
      </vt:variant>
      <vt:variant>
        <vt:i4>0</vt:i4>
      </vt:variant>
      <vt:variant>
        <vt:i4>5</vt:i4>
      </vt:variant>
      <vt:variant>
        <vt:lpwstr/>
      </vt:variant>
      <vt:variant>
        <vt:lpwstr>_Toc212645437</vt:lpwstr>
      </vt:variant>
      <vt:variant>
        <vt:i4>1441840</vt:i4>
      </vt:variant>
      <vt:variant>
        <vt:i4>92</vt:i4>
      </vt:variant>
      <vt:variant>
        <vt:i4>0</vt:i4>
      </vt:variant>
      <vt:variant>
        <vt:i4>5</vt:i4>
      </vt:variant>
      <vt:variant>
        <vt:lpwstr/>
      </vt:variant>
      <vt:variant>
        <vt:lpwstr>_Toc212645436</vt:lpwstr>
      </vt:variant>
      <vt:variant>
        <vt:i4>1441840</vt:i4>
      </vt:variant>
      <vt:variant>
        <vt:i4>86</vt:i4>
      </vt:variant>
      <vt:variant>
        <vt:i4>0</vt:i4>
      </vt:variant>
      <vt:variant>
        <vt:i4>5</vt:i4>
      </vt:variant>
      <vt:variant>
        <vt:lpwstr/>
      </vt:variant>
      <vt:variant>
        <vt:lpwstr>_Toc212645435</vt:lpwstr>
      </vt:variant>
      <vt:variant>
        <vt:i4>1441840</vt:i4>
      </vt:variant>
      <vt:variant>
        <vt:i4>80</vt:i4>
      </vt:variant>
      <vt:variant>
        <vt:i4>0</vt:i4>
      </vt:variant>
      <vt:variant>
        <vt:i4>5</vt:i4>
      </vt:variant>
      <vt:variant>
        <vt:lpwstr/>
      </vt:variant>
      <vt:variant>
        <vt:lpwstr>_Toc212645434</vt:lpwstr>
      </vt:variant>
      <vt:variant>
        <vt:i4>1441840</vt:i4>
      </vt:variant>
      <vt:variant>
        <vt:i4>74</vt:i4>
      </vt:variant>
      <vt:variant>
        <vt:i4>0</vt:i4>
      </vt:variant>
      <vt:variant>
        <vt:i4>5</vt:i4>
      </vt:variant>
      <vt:variant>
        <vt:lpwstr/>
      </vt:variant>
      <vt:variant>
        <vt:lpwstr>_Toc212645433</vt:lpwstr>
      </vt:variant>
      <vt:variant>
        <vt:i4>1441840</vt:i4>
      </vt:variant>
      <vt:variant>
        <vt:i4>68</vt:i4>
      </vt:variant>
      <vt:variant>
        <vt:i4>0</vt:i4>
      </vt:variant>
      <vt:variant>
        <vt:i4>5</vt:i4>
      </vt:variant>
      <vt:variant>
        <vt:lpwstr/>
      </vt:variant>
      <vt:variant>
        <vt:lpwstr>_Toc212645432</vt:lpwstr>
      </vt:variant>
      <vt:variant>
        <vt:i4>1441840</vt:i4>
      </vt:variant>
      <vt:variant>
        <vt:i4>62</vt:i4>
      </vt:variant>
      <vt:variant>
        <vt:i4>0</vt:i4>
      </vt:variant>
      <vt:variant>
        <vt:i4>5</vt:i4>
      </vt:variant>
      <vt:variant>
        <vt:lpwstr/>
      </vt:variant>
      <vt:variant>
        <vt:lpwstr>_Toc212645431</vt:lpwstr>
      </vt:variant>
      <vt:variant>
        <vt:i4>1441840</vt:i4>
      </vt:variant>
      <vt:variant>
        <vt:i4>56</vt:i4>
      </vt:variant>
      <vt:variant>
        <vt:i4>0</vt:i4>
      </vt:variant>
      <vt:variant>
        <vt:i4>5</vt:i4>
      </vt:variant>
      <vt:variant>
        <vt:lpwstr/>
      </vt:variant>
      <vt:variant>
        <vt:lpwstr>_Toc212645430</vt:lpwstr>
      </vt:variant>
      <vt:variant>
        <vt:i4>1507376</vt:i4>
      </vt:variant>
      <vt:variant>
        <vt:i4>50</vt:i4>
      </vt:variant>
      <vt:variant>
        <vt:i4>0</vt:i4>
      </vt:variant>
      <vt:variant>
        <vt:i4>5</vt:i4>
      </vt:variant>
      <vt:variant>
        <vt:lpwstr/>
      </vt:variant>
      <vt:variant>
        <vt:lpwstr>_Toc212645429</vt:lpwstr>
      </vt:variant>
      <vt:variant>
        <vt:i4>1507376</vt:i4>
      </vt:variant>
      <vt:variant>
        <vt:i4>44</vt:i4>
      </vt:variant>
      <vt:variant>
        <vt:i4>0</vt:i4>
      </vt:variant>
      <vt:variant>
        <vt:i4>5</vt:i4>
      </vt:variant>
      <vt:variant>
        <vt:lpwstr/>
      </vt:variant>
      <vt:variant>
        <vt:lpwstr>_Toc212645428</vt:lpwstr>
      </vt:variant>
      <vt:variant>
        <vt:i4>1507376</vt:i4>
      </vt:variant>
      <vt:variant>
        <vt:i4>38</vt:i4>
      </vt:variant>
      <vt:variant>
        <vt:i4>0</vt:i4>
      </vt:variant>
      <vt:variant>
        <vt:i4>5</vt:i4>
      </vt:variant>
      <vt:variant>
        <vt:lpwstr/>
      </vt:variant>
      <vt:variant>
        <vt:lpwstr>_Toc212645427</vt:lpwstr>
      </vt:variant>
      <vt:variant>
        <vt:i4>1507376</vt:i4>
      </vt:variant>
      <vt:variant>
        <vt:i4>32</vt:i4>
      </vt:variant>
      <vt:variant>
        <vt:i4>0</vt:i4>
      </vt:variant>
      <vt:variant>
        <vt:i4>5</vt:i4>
      </vt:variant>
      <vt:variant>
        <vt:lpwstr/>
      </vt:variant>
      <vt:variant>
        <vt:lpwstr>_Toc212645426</vt:lpwstr>
      </vt:variant>
      <vt:variant>
        <vt:i4>1507376</vt:i4>
      </vt:variant>
      <vt:variant>
        <vt:i4>26</vt:i4>
      </vt:variant>
      <vt:variant>
        <vt:i4>0</vt:i4>
      </vt:variant>
      <vt:variant>
        <vt:i4>5</vt:i4>
      </vt:variant>
      <vt:variant>
        <vt:lpwstr/>
      </vt:variant>
      <vt:variant>
        <vt:lpwstr>_Toc212645425</vt:lpwstr>
      </vt:variant>
      <vt:variant>
        <vt:i4>1507376</vt:i4>
      </vt:variant>
      <vt:variant>
        <vt:i4>20</vt:i4>
      </vt:variant>
      <vt:variant>
        <vt:i4>0</vt:i4>
      </vt:variant>
      <vt:variant>
        <vt:i4>5</vt:i4>
      </vt:variant>
      <vt:variant>
        <vt:lpwstr/>
      </vt:variant>
      <vt:variant>
        <vt:lpwstr>_Toc212645424</vt:lpwstr>
      </vt:variant>
      <vt:variant>
        <vt:i4>1507376</vt:i4>
      </vt:variant>
      <vt:variant>
        <vt:i4>14</vt:i4>
      </vt:variant>
      <vt:variant>
        <vt:i4>0</vt:i4>
      </vt:variant>
      <vt:variant>
        <vt:i4>5</vt:i4>
      </vt:variant>
      <vt:variant>
        <vt:lpwstr/>
      </vt:variant>
      <vt:variant>
        <vt:lpwstr>_Toc212645423</vt:lpwstr>
      </vt:variant>
      <vt:variant>
        <vt:i4>1507376</vt:i4>
      </vt:variant>
      <vt:variant>
        <vt:i4>8</vt:i4>
      </vt:variant>
      <vt:variant>
        <vt:i4>0</vt:i4>
      </vt:variant>
      <vt:variant>
        <vt:i4>5</vt:i4>
      </vt:variant>
      <vt:variant>
        <vt:lpwstr/>
      </vt:variant>
      <vt:variant>
        <vt:lpwstr>_Toc212645422</vt:lpwstr>
      </vt:variant>
      <vt:variant>
        <vt:i4>2097263</vt:i4>
      </vt:variant>
      <vt:variant>
        <vt:i4>3</vt:i4>
      </vt:variant>
      <vt:variant>
        <vt:i4>0</vt:i4>
      </vt:variant>
      <vt:variant>
        <vt:i4>5</vt:i4>
      </vt:variant>
      <vt:variant>
        <vt:lpwstr>https://knowsleyknowledge.org.uk/2022-jsna/</vt:lpwstr>
      </vt:variant>
      <vt:variant>
        <vt:lpwstr/>
      </vt:variant>
      <vt:variant>
        <vt:i4>131166</vt:i4>
      </vt:variant>
      <vt:variant>
        <vt:i4>0</vt:i4>
      </vt:variant>
      <vt:variant>
        <vt:i4>0</vt:i4>
      </vt:variant>
      <vt:variant>
        <vt:i4>5</vt:i4>
      </vt:variant>
      <vt:variant>
        <vt:lpwstr>http://www.knowsleyknowledge.org.uk/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KNOWSLEY INTELLIGENCE NETWORK</dc:title>
  <dc:subject/>
  <dc:creator>holfordr</dc:creator>
  <cp:keywords/>
  <dc:description/>
  <cp:lastModifiedBy>Grace, Matthew</cp:lastModifiedBy>
  <cp:revision>389</cp:revision>
  <dcterms:created xsi:type="dcterms:W3CDTF">2026-04-13T22:12:00Z</dcterms:created>
  <dcterms:modified xsi:type="dcterms:W3CDTF">2026-08-06T16:39:00Z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Word 2010</vt:lpwstr>
  </property>
  <property fmtid="{D5CDD505-2E9C-101B-9397-08002B2CF9AE}" pid="4" name="LastSaved">
    <vt:filetime>2018-06-12T00:00:00Z</vt:filetime>
  </property>
  <property fmtid="{D5CDD505-2E9C-101B-9397-08002B2CF9AE}" pid="5" name="ContentTypeId">
    <vt:lpwstr>0x010100F90F380794E3DF4BB1C17D8825ACD93E</vt:lpwstr>
  </property>
  <property fmtid="{D5CDD505-2E9C-101B-9397-08002B2CF9AE}" pid="6" name="MediaServiceImageTags">
    <vt:lpwstr/>
  </property>
</Properties>
</file>