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5E06" w:rsidR="004C0B7F" w:rsidP="005606BD" w:rsidRDefault="005606BD" w14:paraId="4CB18DEE" w14:textId="71479AC9">
      <w:pPr>
        <w:jc w:val="center"/>
      </w:pPr>
      <w:r w:rsidRPr="00F65E06">
        <w:t>C2 Emissions</w:t>
      </w:r>
    </w:p>
    <w:p w:rsidRPr="00F65E06" w:rsidR="00EF76AF" w:rsidP="005606BD" w:rsidRDefault="00EF76AF" w14:paraId="7A41CF81" w14:textId="77777777">
      <w:r w:rsidRPr="00F65E06">
        <w:t xml:space="preserve">C2 A </w:t>
      </w:r>
    </w:p>
    <w:p w:rsidRPr="00F65E06" w:rsidR="005606BD" w:rsidP="005606BD" w:rsidRDefault="002534B3" w14:paraId="35EBB4E9" w14:textId="5BFFAAA1">
      <w:r w:rsidRPr="00F65E06">
        <w:t xml:space="preserve">Process stages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1695"/>
        <w:gridCol w:w="1882"/>
        <w:gridCol w:w="2264"/>
        <w:gridCol w:w="2847"/>
      </w:tblGrid>
      <w:tr w:rsidRPr="00F65E06" w:rsidR="00CC1B01" w:rsidTr="00CC1B01" w14:paraId="5EEEDB4C" w14:textId="77777777">
        <w:tc>
          <w:tcPr>
            <w:tcW w:w="1768" w:type="dxa"/>
            <w:shd w:val="clear" w:color="auto" w:fill="A5C9EB" w:themeFill="text2" w:themeFillTint="40"/>
          </w:tcPr>
          <w:p w:rsidRPr="00F65E06" w:rsidR="00CC1B01" w:rsidP="005606BD" w:rsidRDefault="00CC1B01" w14:paraId="6D50C3B9" w14:textId="606ED330">
            <w:r w:rsidRPr="00F65E06">
              <w:t>Process stage</w:t>
            </w:r>
          </w:p>
        </w:tc>
        <w:tc>
          <w:tcPr>
            <w:tcW w:w="1695" w:type="dxa"/>
            <w:shd w:val="clear" w:color="auto" w:fill="A5C9EB" w:themeFill="text2" w:themeFillTint="40"/>
          </w:tcPr>
          <w:p w:rsidRPr="00F65E06" w:rsidR="00CC1B01" w:rsidP="005606BD" w:rsidRDefault="00CC1B01" w14:paraId="4E7188D7" w14:textId="591BF800">
            <w:r w:rsidRPr="00F65E06">
              <w:t>Expected emissions</w:t>
            </w:r>
          </w:p>
        </w:tc>
        <w:tc>
          <w:tcPr>
            <w:tcW w:w="1882" w:type="dxa"/>
            <w:shd w:val="clear" w:color="auto" w:fill="A5C9EB" w:themeFill="text2" w:themeFillTint="40"/>
          </w:tcPr>
          <w:p w:rsidRPr="00F65E06" w:rsidR="00CC1B01" w:rsidP="005606BD" w:rsidRDefault="00CC1B01" w14:paraId="749B8B06" w14:textId="676A572B">
            <w:r w:rsidRPr="00F65E06">
              <w:t xml:space="preserve">Control measures in place </w:t>
            </w:r>
          </w:p>
        </w:tc>
        <w:tc>
          <w:tcPr>
            <w:tcW w:w="2264" w:type="dxa"/>
            <w:shd w:val="clear" w:color="auto" w:fill="A5C9EB" w:themeFill="text2" w:themeFillTint="40"/>
          </w:tcPr>
          <w:p w:rsidRPr="00F65E06" w:rsidR="00CC1B01" w:rsidP="005606BD" w:rsidRDefault="00CC1B01" w14:paraId="2A327451" w14:textId="61A02543">
            <w:r w:rsidRPr="00F65E06">
              <w:t>Substance</w:t>
            </w:r>
          </w:p>
        </w:tc>
        <w:tc>
          <w:tcPr>
            <w:tcW w:w="2847" w:type="dxa"/>
            <w:shd w:val="clear" w:color="auto" w:fill="A5C9EB" w:themeFill="text2" w:themeFillTint="40"/>
          </w:tcPr>
          <w:p w:rsidRPr="00F65E06" w:rsidR="00CC1B01" w:rsidP="005606BD" w:rsidRDefault="00CC1B01" w14:paraId="1933451B" w14:textId="7F9C663F">
            <w:r w:rsidRPr="00F65E06">
              <w:t xml:space="preserve"> Maintenance </w:t>
            </w:r>
          </w:p>
        </w:tc>
      </w:tr>
      <w:tr w:rsidRPr="00F65E06" w:rsidR="00CC1B01" w:rsidTr="00CC1B01" w14:paraId="09380615" w14:textId="77777777">
        <w:tc>
          <w:tcPr>
            <w:tcW w:w="1768" w:type="dxa"/>
          </w:tcPr>
          <w:p w:rsidRPr="00F65E06" w:rsidR="00CC1B01" w:rsidP="005606BD" w:rsidRDefault="00CC1B01" w14:paraId="0C5FDF2F" w14:textId="722F8113">
            <w:r w:rsidRPr="00F65E06">
              <w:t xml:space="preserve">Delivery of materials </w:t>
            </w:r>
          </w:p>
        </w:tc>
        <w:tc>
          <w:tcPr>
            <w:tcW w:w="1695" w:type="dxa"/>
          </w:tcPr>
          <w:p w:rsidRPr="00F65E06" w:rsidR="00CC1B01" w:rsidP="005606BD" w:rsidRDefault="00CC1B01" w14:paraId="5501C91E" w14:textId="06858B0B">
            <w:r w:rsidRPr="00F65E06">
              <w:t xml:space="preserve">No emissions expected </w:t>
            </w:r>
          </w:p>
        </w:tc>
        <w:tc>
          <w:tcPr>
            <w:tcW w:w="1882" w:type="dxa"/>
          </w:tcPr>
          <w:p w:rsidRPr="00F65E06" w:rsidR="00CC1B01" w:rsidP="005606BD" w:rsidRDefault="00CC1B01" w14:paraId="408D62D5" w14:textId="334568BE">
            <w:r w:rsidRPr="00F65E06">
              <w:t>Vapour return unit on bulk storage tanks</w:t>
            </w:r>
          </w:p>
        </w:tc>
        <w:tc>
          <w:tcPr>
            <w:tcW w:w="2264" w:type="dxa"/>
          </w:tcPr>
          <w:p w:rsidRPr="00F65E06" w:rsidR="00CC1B01" w:rsidP="00CC1B01" w:rsidRDefault="00CC1B01" w14:paraId="1646FDAA" w14:textId="77777777">
            <w:r w:rsidRPr="00F65E06">
              <w:t>Di-isocyanate</w:t>
            </w:r>
          </w:p>
          <w:p w:rsidRPr="00F65E06" w:rsidR="00CC1B01" w:rsidP="00CC1B01" w:rsidRDefault="00CC1B01" w14:paraId="3C7E1915" w14:textId="77777777">
            <w:r w:rsidRPr="00F65E06">
              <w:t>as total NCO</w:t>
            </w:r>
          </w:p>
          <w:p w:rsidRPr="00F65E06" w:rsidR="00CC1B01" w:rsidP="00CC1B01" w:rsidRDefault="00CC1B01" w14:paraId="1198F1D1" w14:textId="4AB21FA4">
            <w:r w:rsidRPr="00F65E06">
              <w:t xml:space="preserve">group and VOC blowing agents </w:t>
            </w:r>
          </w:p>
        </w:tc>
        <w:tc>
          <w:tcPr>
            <w:tcW w:w="2847" w:type="dxa"/>
          </w:tcPr>
          <w:p w:rsidRPr="00F65E06" w:rsidR="00CC1B01" w:rsidP="005606BD" w:rsidRDefault="00CC1B01" w14:paraId="4EBECFD5" w14:textId="6CA5040A">
            <w:r w:rsidRPr="00F65E06">
              <w:t>Annual inspections for air quality and extraction systems carried out</w:t>
            </w:r>
          </w:p>
        </w:tc>
      </w:tr>
      <w:tr w:rsidRPr="00F65E06" w:rsidR="00CC1B01" w:rsidTr="00CC1B01" w14:paraId="130EA24B" w14:textId="77777777">
        <w:tc>
          <w:tcPr>
            <w:tcW w:w="1768" w:type="dxa"/>
          </w:tcPr>
          <w:p w:rsidRPr="00F65E06" w:rsidR="00CC1B01" w:rsidP="005606BD" w:rsidRDefault="00CC1B01" w14:paraId="454E1617" w14:textId="2A52E637">
            <w:r w:rsidRPr="00F65E06">
              <w:t>Daily start up</w:t>
            </w:r>
          </w:p>
        </w:tc>
        <w:tc>
          <w:tcPr>
            <w:tcW w:w="1695" w:type="dxa"/>
          </w:tcPr>
          <w:p w:rsidRPr="00F65E06" w:rsidR="00CC1B01" w:rsidP="005606BD" w:rsidRDefault="00CC1B01" w14:paraId="5FB24E9D" w14:textId="6EE24B64">
            <w:r w:rsidRPr="00F65E06">
              <w:t xml:space="preserve">No emissions expected </w:t>
            </w:r>
          </w:p>
        </w:tc>
        <w:tc>
          <w:tcPr>
            <w:tcW w:w="1882" w:type="dxa"/>
          </w:tcPr>
          <w:p w:rsidRPr="00F65E06" w:rsidR="00CC1B01" w:rsidP="005606BD" w:rsidRDefault="00CC1B01" w14:paraId="567ECA34" w14:textId="3B83D4F5">
            <w:r w:rsidRPr="00F65E06">
              <w:t xml:space="preserve">Enclosed system cycles product until use </w:t>
            </w:r>
          </w:p>
        </w:tc>
        <w:tc>
          <w:tcPr>
            <w:tcW w:w="2264" w:type="dxa"/>
          </w:tcPr>
          <w:p w:rsidRPr="00F65E06" w:rsidR="00CC1B01" w:rsidP="00CC1B01" w:rsidRDefault="00CC1B01" w14:paraId="40B283B5" w14:textId="77777777">
            <w:r w:rsidRPr="00F65E06">
              <w:t>Di-isocyanate</w:t>
            </w:r>
          </w:p>
          <w:p w:rsidRPr="00F65E06" w:rsidR="00CC1B01" w:rsidP="00CC1B01" w:rsidRDefault="00CC1B01" w14:paraId="1B73879B" w14:textId="77777777">
            <w:r w:rsidRPr="00F65E06">
              <w:t>as total NCO</w:t>
            </w:r>
          </w:p>
          <w:p w:rsidRPr="00F65E06" w:rsidR="00CC1B01" w:rsidP="00CC1B01" w:rsidRDefault="00CC1B01" w14:paraId="0C2DD2DA" w14:textId="3A25F869">
            <w:r w:rsidRPr="00F65E06">
              <w:t xml:space="preserve">group and VOC blowing agents </w:t>
            </w:r>
          </w:p>
        </w:tc>
        <w:tc>
          <w:tcPr>
            <w:tcW w:w="2847" w:type="dxa"/>
          </w:tcPr>
          <w:p w:rsidRPr="00F65E06" w:rsidR="00CC1B01" w:rsidP="005606BD" w:rsidRDefault="00CC1B01" w14:paraId="406C3A8A" w14:textId="33818DE8"/>
        </w:tc>
      </w:tr>
      <w:tr w:rsidRPr="00F65E06" w:rsidR="00CC1B01" w:rsidTr="00CC1B01" w14:paraId="2DB6B2B6" w14:textId="77777777">
        <w:tc>
          <w:tcPr>
            <w:tcW w:w="1768" w:type="dxa"/>
          </w:tcPr>
          <w:p w:rsidRPr="00F65E06" w:rsidR="00CC1B01" w:rsidP="005606BD" w:rsidRDefault="00CC1B01" w14:paraId="3374C8C6" w14:textId="17A3582A">
            <w:r w:rsidRPr="00F65E06">
              <w:t xml:space="preserve">Injection of foam </w:t>
            </w:r>
          </w:p>
        </w:tc>
        <w:tc>
          <w:tcPr>
            <w:tcW w:w="1695" w:type="dxa"/>
          </w:tcPr>
          <w:p w:rsidRPr="00F65E06" w:rsidR="00CC1B01" w:rsidP="005606BD" w:rsidRDefault="00CC1B01" w14:paraId="2247303E" w14:textId="4644DDD1">
            <w:r w:rsidRPr="00F65E06">
              <w:t xml:space="preserve">Fugitive emissions expected </w:t>
            </w:r>
          </w:p>
        </w:tc>
        <w:tc>
          <w:tcPr>
            <w:tcW w:w="1882" w:type="dxa"/>
          </w:tcPr>
          <w:p w:rsidRPr="00F65E06" w:rsidR="00CC1B01" w:rsidP="005606BD" w:rsidRDefault="00CC1B01" w14:paraId="20128BF9" w14:textId="1D83BBC8">
            <w:r w:rsidRPr="00F65E06">
              <w:t>Air quality checks &lt;.0002mg/m3</w:t>
            </w:r>
          </w:p>
        </w:tc>
        <w:tc>
          <w:tcPr>
            <w:tcW w:w="2264" w:type="dxa"/>
          </w:tcPr>
          <w:p w:rsidRPr="00F65E06" w:rsidR="00CC1B01" w:rsidP="00CC1B01" w:rsidRDefault="00CC1B01" w14:paraId="69E8363C" w14:textId="77777777">
            <w:r w:rsidRPr="00F65E06">
              <w:t>Di-isocyanate</w:t>
            </w:r>
          </w:p>
          <w:p w:rsidRPr="00F65E06" w:rsidR="00CC1B01" w:rsidP="00CC1B01" w:rsidRDefault="00CC1B01" w14:paraId="0C758E84" w14:textId="77777777">
            <w:r w:rsidRPr="00F65E06">
              <w:t>as total NCO</w:t>
            </w:r>
          </w:p>
          <w:p w:rsidRPr="00F65E06" w:rsidR="00CC1B01" w:rsidP="00CC1B01" w:rsidRDefault="00CC1B01" w14:paraId="4B17C372" w14:textId="14E914F4">
            <w:r w:rsidRPr="00F65E06">
              <w:t xml:space="preserve">group and VOC blowing agents </w:t>
            </w:r>
          </w:p>
        </w:tc>
        <w:tc>
          <w:tcPr>
            <w:tcW w:w="2847" w:type="dxa"/>
          </w:tcPr>
          <w:p w:rsidRPr="00F65E06" w:rsidR="00CC1B01" w:rsidP="005606BD" w:rsidRDefault="00CC1B01" w14:paraId="7F885F23" w14:textId="54FEB94E">
            <w:r w:rsidRPr="00F65E06">
              <w:t>Annual inspections for air quality and extraction systems carried out</w:t>
            </w:r>
          </w:p>
        </w:tc>
      </w:tr>
      <w:tr w:rsidRPr="00F65E06" w:rsidR="00CC1B01" w:rsidTr="00CC1B01" w14:paraId="132C71EB" w14:textId="77777777">
        <w:tc>
          <w:tcPr>
            <w:tcW w:w="1768" w:type="dxa"/>
          </w:tcPr>
          <w:p w:rsidRPr="00F65E06" w:rsidR="00CC1B01" w:rsidP="005606BD" w:rsidRDefault="00CC1B01" w14:paraId="54F2B75F" w14:textId="21E1EB2C">
            <w:r w:rsidRPr="00F65E06">
              <w:t>Curing of product</w:t>
            </w:r>
          </w:p>
        </w:tc>
        <w:tc>
          <w:tcPr>
            <w:tcW w:w="1695" w:type="dxa"/>
          </w:tcPr>
          <w:p w:rsidRPr="00F65E06" w:rsidR="00CC1B01" w:rsidP="005606BD" w:rsidRDefault="00CC1B01" w14:paraId="7E71ADBF" w14:textId="5BF387D4">
            <w:r w:rsidRPr="00F65E06">
              <w:t>Fugitive emissions expected</w:t>
            </w:r>
          </w:p>
        </w:tc>
        <w:tc>
          <w:tcPr>
            <w:tcW w:w="1882" w:type="dxa"/>
          </w:tcPr>
          <w:p w:rsidRPr="00F65E06" w:rsidR="00CC1B01" w:rsidP="005606BD" w:rsidRDefault="00CC1B01" w14:paraId="487FF312" w14:textId="77777777">
            <w:r w:rsidRPr="00F65E06">
              <w:t xml:space="preserve">Dependent on thickness foam can take up to 10 minutes to cure this is done inside the press, air quality checks done </w:t>
            </w:r>
          </w:p>
          <w:p w:rsidRPr="00F65E06" w:rsidR="00CC1B01" w:rsidP="005606BD" w:rsidRDefault="00CC1B01" w14:paraId="6A236A5A" w14:textId="5E45A906">
            <w:r w:rsidRPr="00F65E06">
              <w:t>@ &lt; .0002mg/m3</w:t>
            </w:r>
          </w:p>
        </w:tc>
        <w:tc>
          <w:tcPr>
            <w:tcW w:w="2264" w:type="dxa"/>
          </w:tcPr>
          <w:p w:rsidRPr="00F65E06" w:rsidR="00CC1B01" w:rsidP="00CC1B01" w:rsidRDefault="00CC1B01" w14:paraId="38B0E31A" w14:textId="77777777">
            <w:r w:rsidRPr="00F65E06">
              <w:t>Di-isocyanate</w:t>
            </w:r>
          </w:p>
          <w:p w:rsidRPr="00F65E06" w:rsidR="00CC1B01" w:rsidP="00CC1B01" w:rsidRDefault="00CC1B01" w14:paraId="75053C47" w14:textId="77777777">
            <w:r w:rsidRPr="00F65E06">
              <w:t>as total NCO</w:t>
            </w:r>
          </w:p>
          <w:p w:rsidRPr="00F65E06" w:rsidR="00CC1B01" w:rsidP="00CC1B01" w:rsidRDefault="00CC1B01" w14:paraId="64DE73F9" w14:textId="64E655D8">
            <w:r w:rsidRPr="00F65E06">
              <w:t xml:space="preserve">group and VOC blowing agents </w:t>
            </w:r>
          </w:p>
        </w:tc>
        <w:tc>
          <w:tcPr>
            <w:tcW w:w="2847" w:type="dxa"/>
          </w:tcPr>
          <w:p w:rsidRPr="00F65E06" w:rsidR="00CC1B01" w:rsidP="005606BD" w:rsidRDefault="00CC1B01" w14:paraId="6F1EFF13" w14:textId="69B1CBA5">
            <w:r w:rsidRPr="00F65E06">
              <w:t>Annual inspections for air quality and extraction systems carried out</w:t>
            </w:r>
          </w:p>
        </w:tc>
      </w:tr>
      <w:tr w:rsidRPr="00F65E06" w:rsidR="00CC1B01" w:rsidTr="00CC1B01" w14:paraId="136844C9" w14:textId="77777777">
        <w:tc>
          <w:tcPr>
            <w:tcW w:w="1768" w:type="dxa"/>
          </w:tcPr>
          <w:p w:rsidRPr="00F65E06" w:rsidR="00CC1B01" w:rsidP="005606BD" w:rsidRDefault="00CC1B01" w14:paraId="2B1AFB25" w14:textId="3128C144">
            <w:r w:rsidRPr="00F65E06">
              <w:t>Quality inspections</w:t>
            </w:r>
          </w:p>
        </w:tc>
        <w:tc>
          <w:tcPr>
            <w:tcW w:w="1695" w:type="dxa"/>
          </w:tcPr>
          <w:p w:rsidRPr="00F65E06" w:rsidR="00CC1B01" w:rsidP="005606BD" w:rsidRDefault="00CC1B01" w14:paraId="45218BD0" w14:textId="51B5C3BA">
            <w:r w:rsidRPr="00F65E06">
              <w:t>Fugitive emissions expected</w:t>
            </w:r>
          </w:p>
        </w:tc>
        <w:tc>
          <w:tcPr>
            <w:tcW w:w="1882" w:type="dxa"/>
          </w:tcPr>
          <w:p w:rsidRPr="00F65E06" w:rsidR="00CC1B01" w:rsidP="005606BD" w:rsidRDefault="00CC1B01" w14:paraId="7FD9B59A" w14:textId="77777777">
            <w:r w:rsidRPr="00F65E06">
              <w:t xml:space="preserve">Any adjustment to panels are completed under filtered LEV’s to contain the dust </w:t>
            </w:r>
          </w:p>
          <w:p w:rsidRPr="00F65E06" w:rsidR="00CC1B01" w:rsidP="005606BD" w:rsidRDefault="00CC1B01" w14:paraId="3F0F41ED" w14:textId="473A8FD2">
            <w:r w:rsidRPr="00F65E06">
              <w:t xml:space="preserve">Air </w:t>
            </w:r>
            <w:r w:rsidRPr="00F65E06" w:rsidR="00215901">
              <w:t>q</w:t>
            </w:r>
            <w:r w:rsidRPr="00F65E06">
              <w:t xml:space="preserve">ual results </w:t>
            </w:r>
          </w:p>
          <w:p w:rsidRPr="00F65E06" w:rsidR="00CC1B01" w:rsidP="005606BD" w:rsidRDefault="00CC1B01" w14:paraId="32FD8E71" w14:textId="5FEEA369">
            <w:r w:rsidRPr="00F65E06">
              <w:t>Between 0.19 and 0.72 mg/m3</w:t>
            </w:r>
          </w:p>
        </w:tc>
        <w:tc>
          <w:tcPr>
            <w:tcW w:w="2264" w:type="dxa"/>
          </w:tcPr>
          <w:p w:rsidRPr="00F65E06" w:rsidR="00CC1B01" w:rsidP="00CC1B01" w:rsidRDefault="00CC1B01" w14:paraId="0BE96814" w14:textId="77777777">
            <w:r w:rsidRPr="00F65E06">
              <w:t>Particulate</w:t>
            </w:r>
          </w:p>
          <w:p w:rsidRPr="00F65E06" w:rsidR="00CC1B01" w:rsidP="00CC1B01" w:rsidRDefault="00CC1B01" w14:paraId="2A927178" w14:textId="7BDB061D">
            <w:r w:rsidRPr="00F65E06">
              <w:t xml:space="preserve">Matter </w:t>
            </w:r>
          </w:p>
        </w:tc>
        <w:tc>
          <w:tcPr>
            <w:tcW w:w="2847" w:type="dxa"/>
          </w:tcPr>
          <w:p w:rsidRPr="00F65E06" w:rsidR="00CC1B01" w:rsidP="005606BD" w:rsidRDefault="00CC1B01" w14:paraId="0E55FA19" w14:textId="4513FB09">
            <w:r w:rsidRPr="00F65E06">
              <w:t xml:space="preserve">Annual inspections for air quality and extraction systems carried out </w:t>
            </w:r>
          </w:p>
        </w:tc>
      </w:tr>
      <w:tr w:rsidRPr="00F65E06" w:rsidR="00CC1B01" w:rsidTr="00CC1B01" w14:paraId="039DE7D3" w14:textId="77777777">
        <w:tc>
          <w:tcPr>
            <w:tcW w:w="1768" w:type="dxa"/>
          </w:tcPr>
          <w:p w:rsidRPr="00F65E06" w:rsidR="00CC1B01" w:rsidP="005606BD" w:rsidRDefault="00CC1B01" w14:paraId="7E3B6607" w14:textId="5FE83B00">
            <w:r w:rsidRPr="00F65E06">
              <w:t xml:space="preserve">Cleaning </w:t>
            </w:r>
          </w:p>
        </w:tc>
        <w:tc>
          <w:tcPr>
            <w:tcW w:w="1695" w:type="dxa"/>
          </w:tcPr>
          <w:p w:rsidRPr="00F65E06" w:rsidR="00CC1B01" w:rsidP="005606BD" w:rsidRDefault="00CC1B01" w14:paraId="47C612E1" w14:textId="10D4D3A6">
            <w:r w:rsidRPr="00F65E06">
              <w:t xml:space="preserve">Fugitive emissions expected </w:t>
            </w:r>
          </w:p>
        </w:tc>
        <w:tc>
          <w:tcPr>
            <w:tcW w:w="1882" w:type="dxa"/>
          </w:tcPr>
          <w:p w:rsidRPr="00F65E06" w:rsidR="00CC1B01" w:rsidP="00561F33" w:rsidRDefault="00CC1B01" w14:paraId="30582CBD" w14:textId="6D3A7FD1">
            <w:r w:rsidRPr="00F65E06">
              <w:t>Foam head is soaked in solvent under LEV extraction (see pic1) air quality tests completed @&lt;.42mg/m3</w:t>
            </w:r>
          </w:p>
          <w:p w:rsidRPr="00F65E06" w:rsidR="00CC1B01" w:rsidP="00561F33" w:rsidRDefault="00CC1B01" w14:paraId="14CF10CA" w14:textId="2A732950"/>
        </w:tc>
        <w:tc>
          <w:tcPr>
            <w:tcW w:w="2264" w:type="dxa"/>
          </w:tcPr>
          <w:p w:rsidRPr="00F65E06" w:rsidR="008B635F" w:rsidP="008B635F" w:rsidRDefault="004037E1" w14:paraId="08247D44" w14:textId="7E0108EF">
            <w:r w:rsidRPr="00F65E06">
              <w:t>2-</w:t>
            </w:r>
            <w:r w:rsidRPr="00F65E06" w:rsidR="008B635F">
              <w:t>Butoxyethanol</w:t>
            </w:r>
          </w:p>
          <w:p w:rsidRPr="00F65E06" w:rsidR="00ED6B60" w:rsidP="008B635F" w:rsidRDefault="00ED6B60" w14:paraId="7F409CDF" w14:textId="138968EB"/>
          <w:p w:rsidRPr="00F65E06" w:rsidR="00CC1B01" w:rsidP="008B635F" w:rsidRDefault="00CC1B01" w14:paraId="62790C71" w14:textId="1EE2D636"/>
        </w:tc>
        <w:tc>
          <w:tcPr>
            <w:tcW w:w="2847" w:type="dxa"/>
          </w:tcPr>
          <w:p w:rsidRPr="00F65E06" w:rsidR="00CC1B01" w:rsidP="005606BD" w:rsidRDefault="00CC1B01" w14:paraId="66C3E10F" w14:textId="4F17E355">
            <w:r w:rsidRPr="00F65E06">
              <w:t>Annual inspections for air quality and extraction systems carried out</w:t>
            </w:r>
          </w:p>
        </w:tc>
      </w:tr>
      <w:tr w:rsidRPr="00F65E06" w:rsidR="00CC1B01" w:rsidTr="00CC1B01" w14:paraId="7FFCA5AC" w14:textId="77777777">
        <w:tc>
          <w:tcPr>
            <w:tcW w:w="1768" w:type="dxa"/>
          </w:tcPr>
          <w:p w:rsidRPr="00F65E06" w:rsidR="00CC1B01" w:rsidP="005606BD" w:rsidRDefault="00CC1B01" w14:paraId="3AFDCC8A" w14:textId="3077E379">
            <w:r w:rsidRPr="00F65E06">
              <w:t>Waste</w:t>
            </w:r>
          </w:p>
        </w:tc>
        <w:tc>
          <w:tcPr>
            <w:tcW w:w="1695" w:type="dxa"/>
          </w:tcPr>
          <w:p w:rsidRPr="00F65E06" w:rsidR="00CC1B01" w:rsidP="005606BD" w:rsidRDefault="00CC1B01" w14:paraId="359CAF23" w14:textId="5506209B">
            <w:r w:rsidRPr="00F65E06">
              <w:t xml:space="preserve">No emissions expected </w:t>
            </w:r>
          </w:p>
        </w:tc>
        <w:tc>
          <w:tcPr>
            <w:tcW w:w="1882" w:type="dxa"/>
          </w:tcPr>
          <w:p w:rsidRPr="00F65E06" w:rsidR="00CC1B01" w:rsidP="00561F33" w:rsidRDefault="00CC1B01" w14:paraId="56F7A5DC" w14:textId="4F6625D5">
            <w:r w:rsidRPr="00F65E06">
              <w:t xml:space="preserve">Any waste that cannot be </w:t>
            </w:r>
            <w:r w:rsidRPr="00F65E06">
              <w:lastRenderedPageBreak/>
              <w:t xml:space="preserve">repurposed in house will be processed by an authorised waste disposal company </w:t>
            </w:r>
            <w:r w:rsidRPr="00F65E06" w:rsidR="00D15E2C">
              <w:t xml:space="preserve">under code </w:t>
            </w:r>
            <w:r w:rsidRPr="00F65E06" w:rsidR="00A73975">
              <w:t>17-09-04</w:t>
            </w:r>
            <w:r w:rsidRPr="00F65E06" w:rsidR="00B67592">
              <w:t xml:space="preserve"> or sent for recycling </w:t>
            </w:r>
          </w:p>
        </w:tc>
        <w:tc>
          <w:tcPr>
            <w:tcW w:w="2264" w:type="dxa"/>
          </w:tcPr>
          <w:p w:rsidRPr="00F65E06" w:rsidR="00CC1B01" w:rsidP="005606BD" w:rsidRDefault="00CC1B01" w14:paraId="079C2234" w14:textId="77777777"/>
        </w:tc>
        <w:tc>
          <w:tcPr>
            <w:tcW w:w="2847" w:type="dxa"/>
          </w:tcPr>
          <w:p w:rsidRPr="00F65E06" w:rsidR="00CC1B01" w:rsidP="005606BD" w:rsidRDefault="00CC1B01" w14:paraId="75A2C215" w14:textId="58DF3FB7"/>
        </w:tc>
      </w:tr>
      <w:tr w:rsidRPr="00F65E06" w:rsidR="00CC1B01" w:rsidTr="00CC1B01" w14:paraId="203645C4" w14:textId="77777777">
        <w:tc>
          <w:tcPr>
            <w:tcW w:w="1768" w:type="dxa"/>
          </w:tcPr>
          <w:p w:rsidRPr="00F65E06" w:rsidR="00CC1B01" w:rsidP="005606BD" w:rsidRDefault="00CC1B01" w14:paraId="47365245" w14:textId="3A787A3F">
            <w:r w:rsidRPr="00F65E06">
              <w:t xml:space="preserve">Close down </w:t>
            </w:r>
          </w:p>
        </w:tc>
        <w:tc>
          <w:tcPr>
            <w:tcW w:w="1695" w:type="dxa"/>
          </w:tcPr>
          <w:p w:rsidRPr="00F65E06" w:rsidR="00CC1B01" w:rsidP="005606BD" w:rsidRDefault="00CC1B01" w14:paraId="09FEF657" w14:textId="0A755240">
            <w:r w:rsidRPr="00F65E06">
              <w:t xml:space="preserve">No emissions are expected </w:t>
            </w:r>
          </w:p>
        </w:tc>
        <w:tc>
          <w:tcPr>
            <w:tcW w:w="1882" w:type="dxa"/>
          </w:tcPr>
          <w:p w:rsidRPr="00F65E06" w:rsidR="00CC1B01" w:rsidP="00561F33" w:rsidRDefault="00CC1B01" w14:paraId="153D0FD8" w14:textId="16540DDE">
            <w:r w:rsidRPr="00F65E06">
              <w:t>Enclosed system cycles product until use</w:t>
            </w:r>
          </w:p>
        </w:tc>
        <w:tc>
          <w:tcPr>
            <w:tcW w:w="2264" w:type="dxa"/>
          </w:tcPr>
          <w:p w:rsidRPr="00F65E06" w:rsidR="00CC1B01" w:rsidP="005606BD" w:rsidRDefault="00CC1B01" w14:paraId="1BFF3CA5" w14:textId="77777777"/>
        </w:tc>
        <w:tc>
          <w:tcPr>
            <w:tcW w:w="2847" w:type="dxa"/>
          </w:tcPr>
          <w:p w:rsidRPr="00F65E06" w:rsidR="00CC1B01" w:rsidP="005606BD" w:rsidRDefault="00CC1B01" w14:paraId="629599B3" w14:textId="0BD8ECC0"/>
        </w:tc>
      </w:tr>
      <w:tr w:rsidRPr="00F65E06" w:rsidR="00863B88" w:rsidTr="00CC1B01" w14:paraId="2765BB40" w14:textId="77777777">
        <w:tc>
          <w:tcPr>
            <w:tcW w:w="1768" w:type="dxa"/>
          </w:tcPr>
          <w:p w:rsidRPr="00F65E06" w:rsidR="00863B88" w:rsidP="005606BD" w:rsidRDefault="00C500C0" w14:paraId="14039669" w14:textId="77777777">
            <w:r w:rsidRPr="00F65E06">
              <w:t xml:space="preserve">General operation </w:t>
            </w:r>
          </w:p>
          <w:p w:rsidRPr="00F65E06" w:rsidR="00C500C0" w:rsidP="005606BD" w:rsidRDefault="00C500C0" w14:paraId="5EF541D6" w14:textId="674FE33F">
            <w:r w:rsidRPr="00F65E06">
              <w:t xml:space="preserve">Odour </w:t>
            </w:r>
          </w:p>
        </w:tc>
        <w:tc>
          <w:tcPr>
            <w:tcW w:w="1695" w:type="dxa"/>
          </w:tcPr>
          <w:p w:rsidRPr="00F65E06" w:rsidR="00863B88" w:rsidP="005606BD" w:rsidRDefault="00C500C0" w14:paraId="01EBA7FB" w14:textId="5E03BE5E">
            <w:r w:rsidRPr="00F65E06">
              <w:t xml:space="preserve">No </w:t>
            </w:r>
            <w:r w:rsidRPr="00F65E06" w:rsidR="00057454">
              <w:t>significant odour</w:t>
            </w:r>
            <w:r w:rsidRPr="00F65E06" w:rsidR="00B66147">
              <w:t xml:space="preserve"> </w:t>
            </w:r>
            <w:r w:rsidRPr="00F65E06" w:rsidR="00057454">
              <w:t xml:space="preserve">expected during normal operation </w:t>
            </w:r>
          </w:p>
        </w:tc>
        <w:tc>
          <w:tcPr>
            <w:tcW w:w="1882" w:type="dxa"/>
          </w:tcPr>
          <w:p w:rsidRPr="00F65E06" w:rsidR="00863B88" w:rsidP="00561F33" w:rsidRDefault="00B66147" w14:paraId="4897F79D" w14:textId="087A6BDB">
            <w:r w:rsidRPr="00F65E06">
              <w:t xml:space="preserve">Enclosed system with vapour return valve on bulk intake tanks </w:t>
            </w:r>
          </w:p>
        </w:tc>
        <w:tc>
          <w:tcPr>
            <w:tcW w:w="2264" w:type="dxa"/>
          </w:tcPr>
          <w:p w:rsidRPr="00F65E06" w:rsidR="00863B88" w:rsidP="005606BD" w:rsidRDefault="00863B88" w14:paraId="09031B0E" w14:textId="77777777"/>
        </w:tc>
        <w:tc>
          <w:tcPr>
            <w:tcW w:w="2847" w:type="dxa"/>
          </w:tcPr>
          <w:p w:rsidRPr="00F65E06" w:rsidR="00863B88" w:rsidP="005606BD" w:rsidRDefault="00955198" w14:paraId="5731AA79" w14:textId="6BDA8425">
            <w:r w:rsidRPr="00F65E06">
              <w:t xml:space="preserve">Can add to ongoing inspections if required </w:t>
            </w:r>
          </w:p>
        </w:tc>
      </w:tr>
      <w:tr w:rsidRPr="00F65E06" w:rsidR="00955198" w:rsidTr="00CC1B01" w14:paraId="307A71FA" w14:textId="77777777">
        <w:tc>
          <w:tcPr>
            <w:tcW w:w="1768" w:type="dxa"/>
          </w:tcPr>
          <w:p w:rsidRPr="00F65E06" w:rsidR="00955198" w:rsidP="005606BD" w:rsidRDefault="00B922C5" w14:paraId="00996FDE" w14:textId="32302EB5">
            <w:r w:rsidRPr="00F65E06">
              <w:t>VOC’s</w:t>
            </w:r>
          </w:p>
        </w:tc>
        <w:tc>
          <w:tcPr>
            <w:tcW w:w="1695" w:type="dxa"/>
          </w:tcPr>
          <w:p w:rsidRPr="00F65E06" w:rsidR="00955198" w:rsidP="005606BD" w:rsidRDefault="00955198" w14:paraId="19654B20" w14:textId="77777777"/>
        </w:tc>
        <w:tc>
          <w:tcPr>
            <w:tcW w:w="1882" w:type="dxa"/>
          </w:tcPr>
          <w:p w:rsidRPr="00F65E06" w:rsidR="00955198" w:rsidP="00561F33" w:rsidRDefault="00955198" w14:paraId="5DFFDC4C" w14:textId="77777777"/>
        </w:tc>
        <w:tc>
          <w:tcPr>
            <w:tcW w:w="2264" w:type="dxa"/>
          </w:tcPr>
          <w:p w:rsidRPr="00F65E06" w:rsidR="00955198" w:rsidP="005606BD" w:rsidRDefault="00B922C5" w14:paraId="3BB33480" w14:textId="511D3738">
            <w:r w:rsidRPr="00F65E06">
              <w:t xml:space="preserve">Cyclopentane </w:t>
            </w:r>
          </w:p>
        </w:tc>
        <w:tc>
          <w:tcPr>
            <w:tcW w:w="2847" w:type="dxa"/>
          </w:tcPr>
          <w:p w:rsidRPr="00F65E06" w:rsidR="00955198" w:rsidP="005606BD" w:rsidRDefault="00D9517F" w14:paraId="64F1EF69" w14:textId="73F0AE03">
            <w:r w:rsidRPr="00F65E06">
              <w:t>Any VOC’s in the formula are in minima</w:t>
            </w:r>
            <w:r w:rsidRPr="00F65E06" w:rsidR="00B913CA">
              <w:t xml:space="preserve">l amounts </w:t>
            </w:r>
            <w:r w:rsidRPr="00F65E06" w:rsidR="00301456">
              <w:t>and have less than trivial environmental impact</w:t>
            </w:r>
            <w:r w:rsidRPr="00F65E06" w:rsidR="00F05F68">
              <w:t>.</w:t>
            </w:r>
            <w:r w:rsidRPr="00F65E06" w:rsidR="00301456">
              <w:t xml:space="preserve"> </w:t>
            </w:r>
          </w:p>
        </w:tc>
      </w:tr>
    </w:tbl>
    <w:p w:rsidRPr="00F65E06" w:rsidR="005606BD" w:rsidP="005606BD" w:rsidRDefault="005606BD" w14:paraId="37314E15" w14:textId="77777777"/>
    <w:p w:rsidRPr="00F65E06" w:rsidR="003733CF" w:rsidP="005606BD" w:rsidRDefault="003733CF" w14:paraId="107E21F9" w14:textId="77777777"/>
    <w:p w:rsidRPr="00F65E06" w:rsidR="003733CF" w:rsidP="005606BD" w:rsidRDefault="003733CF" w14:paraId="1AEA6EB6" w14:textId="4675D802">
      <w:r w:rsidRPr="00F65E06">
        <w:t>*</w:t>
      </w:r>
      <w:r w:rsidRPr="00F65E06" w:rsidR="00172149">
        <w:t xml:space="preserve"> </w:t>
      </w:r>
      <w:r w:rsidRPr="00F65E06" w:rsidR="00172149">
        <w:t xml:space="preserve">cyclopentane is the only ingredient with a documented GWP (~10) and potential POCP (likely low). All ingredients, including cyclopentane, have an ODP of 0. The other ingredients (reaction mass, </w:t>
      </w:r>
      <w:proofErr w:type="spellStart"/>
      <w:r w:rsidRPr="00F65E06" w:rsidR="00172149">
        <w:t>polypropylenglycol</w:t>
      </w:r>
      <w:proofErr w:type="spellEnd"/>
      <w:r w:rsidRPr="00F65E06" w:rsidR="00172149">
        <w:t>, formic acid, and amines) likely have negligible GWP and negligible to low POCP</w:t>
      </w:r>
    </w:p>
    <w:p w:rsidRPr="00F65E06" w:rsidR="002534B3" w:rsidP="000716D0" w:rsidRDefault="00283E01" w14:paraId="672438F5" w14:textId="77777777">
      <w:pPr>
        <w:tabs>
          <w:tab w:val="left" w:pos="2340"/>
        </w:tabs>
      </w:pPr>
      <w:r w:rsidRPr="00F65E06">
        <w:t>Estimated t</w:t>
      </w:r>
      <w:r w:rsidRPr="00F65E06" w:rsidR="00A91244">
        <w:t>otal</w:t>
      </w:r>
      <w:r w:rsidRPr="00F65E06" w:rsidR="00CF178E">
        <w:t xml:space="preserve"> usage of Cyclopentane between 2024/2025 </w:t>
      </w:r>
      <w:r w:rsidRPr="00F65E06">
        <w:t xml:space="preserve">  </w:t>
      </w:r>
      <w:r w:rsidRPr="00F65E06" w:rsidR="006940FC">
        <w:t>2000Kg</w:t>
      </w:r>
    </w:p>
    <w:p w:rsidRPr="00F65E06" w:rsidR="00172149" w:rsidP="000716D0" w:rsidRDefault="00B376D6" w14:paraId="7EB276CF" w14:textId="5ADD0F4A">
      <w:pPr>
        <w:tabs>
          <w:tab w:val="left" w:pos="2340"/>
        </w:tabs>
      </w:pPr>
      <w:r w:rsidRPr="00F65E06">
        <w:t xml:space="preserve">  </w:t>
      </w:r>
      <w:r w:rsidRPr="00F65E06" w:rsidR="00283E01">
        <w:t xml:space="preserve">    </w:t>
      </w:r>
    </w:p>
    <w:p w:rsidRPr="00F65E06" w:rsidR="000716D0" w:rsidP="000716D0" w:rsidRDefault="000716D0" w14:paraId="7818EAB8" w14:textId="470AA6EC">
      <w:pPr>
        <w:tabs>
          <w:tab w:val="left" w:pos="2340"/>
        </w:tabs>
      </w:pPr>
      <w:r w:rsidRPr="00F65E06">
        <w:t>An</w:t>
      </w:r>
      <w:r w:rsidRPr="00F65E06" w:rsidR="001E3BEA">
        <w:t xml:space="preserve">nual monitoring of all LEV and extraction </w:t>
      </w:r>
      <w:r w:rsidRPr="00F65E06" w:rsidR="00D9522C">
        <w:t xml:space="preserve">and air quality </w:t>
      </w:r>
      <w:r w:rsidRPr="00F65E06" w:rsidR="001E3BEA">
        <w:t>carried out by</w:t>
      </w:r>
      <w:r w:rsidRPr="00F65E06" w:rsidR="0085203A">
        <w:t xml:space="preserve"> a leading environmental consultancy.</w:t>
      </w:r>
    </w:p>
    <w:p w:rsidRPr="00F65E06" w:rsidR="000B3456" w:rsidP="000716D0" w:rsidRDefault="000B3456" w14:paraId="72803E69" w14:textId="77777777">
      <w:pPr>
        <w:tabs>
          <w:tab w:val="left" w:pos="2340"/>
        </w:tabs>
      </w:pPr>
    </w:p>
    <w:p w:rsidR="00D31B3C" w:rsidP="000716D0" w:rsidRDefault="00D31B3C" w14:paraId="2EE0FCD7" w14:textId="77777777">
      <w:pPr>
        <w:tabs>
          <w:tab w:val="left" w:pos="2340"/>
        </w:tabs>
      </w:pPr>
    </w:p>
    <w:p w:rsidR="00D31B3C" w:rsidP="000716D0" w:rsidRDefault="00D31B3C" w14:paraId="183559AD" w14:textId="77777777">
      <w:pPr>
        <w:tabs>
          <w:tab w:val="left" w:pos="2340"/>
        </w:tabs>
      </w:pPr>
    </w:p>
    <w:p w:rsidR="00D31B3C" w:rsidP="000716D0" w:rsidRDefault="00D31B3C" w14:paraId="7EEF4907" w14:textId="77777777">
      <w:pPr>
        <w:tabs>
          <w:tab w:val="left" w:pos="2340"/>
        </w:tabs>
      </w:pPr>
    </w:p>
    <w:p w:rsidR="00D31B3C" w:rsidP="000716D0" w:rsidRDefault="00D31B3C" w14:paraId="4FA5D490" w14:textId="77777777">
      <w:pPr>
        <w:tabs>
          <w:tab w:val="left" w:pos="2340"/>
        </w:tabs>
      </w:pPr>
    </w:p>
    <w:p w:rsidR="00D31B3C" w:rsidP="000716D0" w:rsidRDefault="00D31B3C" w14:paraId="36E4E53A" w14:textId="77777777">
      <w:pPr>
        <w:tabs>
          <w:tab w:val="left" w:pos="2340"/>
        </w:tabs>
      </w:pPr>
    </w:p>
    <w:p w:rsidR="00D31B3C" w:rsidP="000716D0" w:rsidRDefault="00D31B3C" w14:paraId="156A5547" w14:textId="77777777">
      <w:pPr>
        <w:tabs>
          <w:tab w:val="left" w:pos="2340"/>
        </w:tabs>
      </w:pPr>
    </w:p>
    <w:p w:rsidR="00D31B3C" w:rsidP="000716D0" w:rsidRDefault="00D31B3C" w14:paraId="2737CF8A" w14:textId="77777777">
      <w:pPr>
        <w:tabs>
          <w:tab w:val="left" w:pos="2340"/>
        </w:tabs>
      </w:pPr>
    </w:p>
    <w:p w:rsidR="00D31B3C" w:rsidP="000716D0" w:rsidRDefault="00D31B3C" w14:paraId="5E56E7EA" w14:textId="77777777">
      <w:pPr>
        <w:tabs>
          <w:tab w:val="left" w:pos="2340"/>
        </w:tabs>
      </w:pPr>
    </w:p>
    <w:p w:rsidR="00D31B3C" w:rsidP="000716D0" w:rsidRDefault="00D31B3C" w14:paraId="2E877B71" w14:textId="77777777">
      <w:pPr>
        <w:tabs>
          <w:tab w:val="left" w:pos="2340"/>
        </w:tabs>
      </w:pPr>
    </w:p>
    <w:p w:rsidR="00D31B3C" w:rsidP="000716D0" w:rsidRDefault="00D31B3C" w14:paraId="3204ECD7" w14:textId="77777777">
      <w:pPr>
        <w:tabs>
          <w:tab w:val="left" w:pos="2340"/>
        </w:tabs>
      </w:pPr>
    </w:p>
    <w:p w:rsidRPr="00F65E06" w:rsidR="00443AF9" w:rsidP="000716D0" w:rsidRDefault="00443AF9" w14:paraId="365A29ED" w14:textId="1E976B87">
      <w:pPr>
        <w:tabs>
          <w:tab w:val="left" w:pos="2340"/>
        </w:tabs>
      </w:pPr>
      <w:r w:rsidRPr="00F65E06">
        <w:t xml:space="preserve">Emission control </w:t>
      </w:r>
    </w:p>
    <w:p w:rsidR="001E4CDD" w:rsidP="000716D0" w:rsidRDefault="001E4CDD" w14:paraId="6DD2DD0A" w14:textId="58F825D3">
      <w:pPr>
        <w:tabs>
          <w:tab w:val="left" w:pos="2340"/>
        </w:tabs>
      </w:pPr>
      <w:r w:rsidRPr="00F65E06">
        <w:t xml:space="preserve">Emissions are controlled at every stage in the process to ensure </w:t>
      </w:r>
      <w:r w:rsidRPr="00F65E06" w:rsidR="00F65E06">
        <w:t xml:space="preserve">minimal exposure if any. </w:t>
      </w:r>
    </w:p>
    <w:p w:rsidR="00293107" w:rsidP="00293107" w:rsidRDefault="00293107" w14:paraId="6BF20AA2" w14:textId="38D8B86C">
      <w:pPr>
        <w:tabs>
          <w:tab w:val="left" w:pos="2340"/>
        </w:tabs>
      </w:pPr>
      <w:r>
        <w:t>Process</w:t>
      </w:r>
      <w:r w:rsidR="00D31B3C">
        <w:t xml:space="preserve"> control measures </w:t>
      </w:r>
    </w:p>
    <w:p w:rsidRPr="00293107" w:rsidR="00F65E06" w:rsidP="00293107" w:rsidRDefault="00F65E06" w14:paraId="3F28E255" w14:textId="2231CF7F">
      <w:pPr>
        <w:pStyle w:val="ListParagraph"/>
        <w:numPr>
          <w:ilvl w:val="0"/>
          <w:numId w:val="1"/>
        </w:numPr>
        <w:tabs>
          <w:tab w:val="left" w:pos="2340"/>
        </w:tabs>
        <w:rPr>
          <w:lang w:val="en-US"/>
        </w:rPr>
      </w:pPr>
      <w:r w:rsidRPr="00F65E06">
        <w:t xml:space="preserve">Vapour return valve on bulk deliveries </w:t>
      </w:r>
    </w:p>
    <w:p w:rsidRPr="007D33C5" w:rsidR="00BA09C5" w:rsidP="007D33C5" w:rsidRDefault="003571A0" w14:paraId="19EE517D" w14:textId="0D76A608">
      <w:pPr>
        <w:pStyle w:val="ListParagraph"/>
        <w:numPr>
          <w:ilvl w:val="0"/>
          <w:numId w:val="1"/>
        </w:numPr>
        <w:tabs>
          <w:tab w:val="left" w:pos="2340"/>
        </w:tabs>
        <w:rPr>
          <w:lang w:val="en-US"/>
        </w:rPr>
      </w:pPr>
      <w:r>
        <w:t xml:space="preserve">Closed system for chemical mixture </w:t>
      </w:r>
    </w:p>
    <w:p w:rsidRPr="003A4F24" w:rsidR="003571A0" w:rsidP="00F65E06" w:rsidRDefault="003571A0" w14:paraId="3551B756" w14:textId="6F9A6480">
      <w:pPr>
        <w:pStyle w:val="ListParagraph"/>
        <w:numPr>
          <w:ilvl w:val="0"/>
          <w:numId w:val="1"/>
        </w:numPr>
        <w:tabs>
          <w:tab w:val="left" w:pos="2340"/>
        </w:tabs>
        <w:rPr>
          <w:lang w:val="en-US"/>
        </w:rPr>
      </w:pPr>
      <w:r>
        <w:t xml:space="preserve">Sealed </w:t>
      </w:r>
      <w:r w:rsidR="007D4072">
        <w:t xml:space="preserve">foaming JIGS </w:t>
      </w:r>
    </w:p>
    <w:p w:rsidRPr="00D31B3C" w:rsidR="003A4F24" w:rsidP="00F65E06" w:rsidRDefault="003A4F24" w14:paraId="5AD27A41" w14:textId="03D57572">
      <w:pPr>
        <w:pStyle w:val="ListParagraph"/>
        <w:numPr>
          <w:ilvl w:val="0"/>
          <w:numId w:val="1"/>
        </w:numPr>
        <w:tabs>
          <w:tab w:val="left" w:pos="2340"/>
        </w:tabs>
        <w:rPr>
          <w:lang w:val="en-US"/>
        </w:rPr>
      </w:pPr>
      <w:r>
        <w:t xml:space="preserve">Fast </w:t>
      </w:r>
      <w:r w:rsidR="00434D27">
        <w:t xml:space="preserve">Cure time before material is inert </w:t>
      </w:r>
    </w:p>
    <w:p w:rsidR="00D31B3C" w:rsidP="00D31B3C" w:rsidRDefault="00D31B3C" w14:paraId="25890199" w14:textId="77777777">
      <w:pPr>
        <w:tabs>
          <w:tab w:val="left" w:pos="2340"/>
        </w:tabs>
        <w:rPr>
          <w:lang w:val="en-US"/>
        </w:rPr>
      </w:pPr>
    </w:p>
    <w:p w:rsidR="00D31B3C" w:rsidP="00D31B3C" w:rsidRDefault="00D31B3C" w14:paraId="45DDEE4C" w14:textId="77777777">
      <w:pPr>
        <w:tabs>
          <w:tab w:val="left" w:pos="2340"/>
        </w:tabs>
        <w:rPr>
          <w:lang w:val="en-US"/>
        </w:rPr>
      </w:pPr>
    </w:p>
    <w:p w:rsidR="00D31B3C" w:rsidP="00D31B3C" w:rsidRDefault="00D31B3C" w14:paraId="51E494F7" w14:textId="4F586FD4">
      <w:pPr>
        <w:tabs>
          <w:tab w:val="left" w:pos="2340"/>
        </w:tabs>
        <w:rPr>
          <w:lang w:val="en-US"/>
        </w:rPr>
      </w:pPr>
      <w:r>
        <w:rPr>
          <w:lang w:val="en-US"/>
        </w:rPr>
        <w:t xml:space="preserve">Operational Controls </w:t>
      </w:r>
    </w:p>
    <w:p w:rsidR="00D31B3C" w:rsidP="00D31B3C" w:rsidRDefault="00D31B3C" w14:paraId="01C32A07" w14:textId="77777777">
      <w:pPr>
        <w:tabs>
          <w:tab w:val="left" w:pos="2340"/>
        </w:tabs>
        <w:rPr>
          <w:lang w:val="en-US"/>
        </w:rPr>
      </w:pPr>
    </w:p>
    <w:p w:rsidR="005F2D3B" w:rsidP="005F2D3B" w:rsidRDefault="005F2D3B" w14:paraId="4A54407A" w14:textId="1C432778">
      <w:pPr>
        <w:pStyle w:val="ListParagraph"/>
        <w:numPr>
          <w:ilvl w:val="0"/>
          <w:numId w:val="2"/>
        </w:numPr>
        <w:tabs>
          <w:tab w:val="left" w:pos="2340"/>
        </w:tabs>
        <w:rPr>
          <w:lang w:val="en-US"/>
        </w:rPr>
      </w:pPr>
      <w:r>
        <w:rPr>
          <w:lang w:val="en-US"/>
        </w:rPr>
        <w:t xml:space="preserve">PPM (planned preventative maintenance) scheduled by qualified engineers, any </w:t>
      </w:r>
      <w:r w:rsidR="003C7855">
        <w:rPr>
          <w:lang w:val="en-US"/>
        </w:rPr>
        <w:t>specialized</w:t>
      </w:r>
      <w:r>
        <w:rPr>
          <w:lang w:val="en-US"/>
        </w:rPr>
        <w:t xml:space="preserve"> work </w:t>
      </w:r>
      <w:r w:rsidR="003C7855">
        <w:rPr>
          <w:lang w:val="en-US"/>
        </w:rPr>
        <w:t xml:space="preserve">LEV inspections air quality tests carried out by </w:t>
      </w:r>
      <w:r w:rsidR="00EF69CB">
        <w:rPr>
          <w:lang w:val="en-US"/>
        </w:rPr>
        <w:t xml:space="preserve">external </w:t>
      </w:r>
      <w:r w:rsidR="00F9641A">
        <w:rPr>
          <w:lang w:val="en-US"/>
        </w:rPr>
        <w:t>qualified specialists</w:t>
      </w:r>
      <w:r w:rsidR="00740A52">
        <w:rPr>
          <w:lang w:val="en-US"/>
        </w:rPr>
        <w:t>.</w:t>
      </w:r>
    </w:p>
    <w:p w:rsidRPr="005F2D3B" w:rsidR="00F9641A" w:rsidP="2D6081EB" w:rsidRDefault="00A162A6" w14:paraId="4E4619B0" w14:textId="199F2501" w14:noSpellErr="1">
      <w:pPr>
        <w:pStyle w:val="ListParagraph"/>
        <w:numPr>
          <w:ilvl w:val="0"/>
          <w:numId w:val="2"/>
        </w:numPr>
        <w:tabs>
          <w:tab w:val="left" w:pos="2340"/>
        </w:tabs>
        <w:rPr>
          <w:lang w:val="en-GB"/>
        </w:rPr>
      </w:pPr>
      <w:r w:rsidRPr="2D6081EB" w:rsidR="00A162A6">
        <w:rPr>
          <w:lang w:val="en-GB"/>
        </w:rPr>
        <w:t xml:space="preserve">Electronic reporting system for </w:t>
      </w:r>
      <w:r w:rsidRPr="2D6081EB" w:rsidR="0029440A">
        <w:rPr>
          <w:lang w:val="en-GB"/>
        </w:rPr>
        <w:t xml:space="preserve">accidents, </w:t>
      </w:r>
      <w:r w:rsidRPr="2D6081EB" w:rsidR="0029440A">
        <w:rPr>
          <w:lang w:val="en-GB"/>
        </w:rPr>
        <w:t>incident</w:t>
      </w:r>
      <w:r w:rsidRPr="2D6081EB" w:rsidR="0029440A">
        <w:rPr>
          <w:lang w:val="en-GB"/>
        </w:rPr>
        <w:t xml:space="preserve"> and near misses </w:t>
      </w:r>
      <w:r w:rsidRPr="2D6081EB" w:rsidR="0029440A">
        <w:rPr>
          <w:lang w:val="en-GB"/>
        </w:rPr>
        <w:t>currently</w:t>
      </w:r>
      <w:r w:rsidRPr="2D6081EB" w:rsidR="0029440A">
        <w:rPr>
          <w:lang w:val="en-GB"/>
        </w:rPr>
        <w:t xml:space="preserve"> being used to re</w:t>
      </w:r>
      <w:r w:rsidRPr="2D6081EB" w:rsidR="00CE4839">
        <w:rPr>
          <w:lang w:val="en-GB"/>
        </w:rPr>
        <w:t>p</w:t>
      </w:r>
      <w:r w:rsidRPr="2D6081EB" w:rsidR="0029440A">
        <w:rPr>
          <w:lang w:val="en-GB"/>
        </w:rPr>
        <w:t>ort any mechanical issues</w:t>
      </w:r>
      <w:r w:rsidRPr="2D6081EB" w:rsidR="00CE4839">
        <w:rPr>
          <w:lang w:val="en-GB"/>
        </w:rPr>
        <w:t xml:space="preserve">, we are developing </w:t>
      </w:r>
      <w:r w:rsidRPr="2D6081EB" w:rsidR="00CE4839">
        <w:rPr>
          <w:lang w:val="en-GB"/>
        </w:rPr>
        <w:t>an</w:t>
      </w:r>
      <w:r w:rsidRPr="2D6081EB" w:rsidR="00CE4839">
        <w:rPr>
          <w:lang w:val="en-GB"/>
        </w:rPr>
        <w:t xml:space="preserve"> more </w:t>
      </w:r>
      <w:r w:rsidRPr="2D6081EB" w:rsidR="00CE4839">
        <w:rPr>
          <w:lang w:val="en-GB"/>
        </w:rPr>
        <w:t>engineering based</w:t>
      </w:r>
      <w:r w:rsidRPr="2D6081EB" w:rsidR="00CE4839">
        <w:rPr>
          <w:lang w:val="en-GB"/>
        </w:rPr>
        <w:t xml:space="preserve"> reporting system that integrates with the PPM</w:t>
      </w:r>
      <w:r w:rsidRPr="2D6081EB" w:rsidR="003E3266">
        <w:rPr>
          <w:lang w:val="en-GB"/>
        </w:rPr>
        <w:t xml:space="preserve">. </w:t>
      </w:r>
      <w:r w:rsidRPr="2D6081EB" w:rsidR="0029440A">
        <w:rPr>
          <w:lang w:val="en-GB"/>
        </w:rPr>
        <w:t xml:space="preserve"> </w:t>
      </w:r>
    </w:p>
    <w:sectPr w:rsidRPr="005F2D3B" w:rsidR="00F9641A" w:rsidSect="005606B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9B6"/>
    <w:multiLevelType w:val="hybridMultilevel"/>
    <w:tmpl w:val="C3E830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327541"/>
    <w:multiLevelType w:val="hybridMultilevel"/>
    <w:tmpl w:val="915858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1648122">
    <w:abstractNumId w:val="1"/>
  </w:num>
  <w:num w:numId="2" w16cid:durableId="53280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BD"/>
    <w:rsid w:val="00002722"/>
    <w:rsid w:val="00057454"/>
    <w:rsid w:val="000716D0"/>
    <w:rsid w:val="000B3456"/>
    <w:rsid w:val="00172149"/>
    <w:rsid w:val="001E3BEA"/>
    <w:rsid w:val="001E4CDD"/>
    <w:rsid w:val="001F254F"/>
    <w:rsid w:val="00215901"/>
    <w:rsid w:val="002534B3"/>
    <w:rsid w:val="00283E01"/>
    <w:rsid w:val="00293107"/>
    <w:rsid w:val="0029440A"/>
    <w:rsid w:val="002B0B97"/>
    <w:rsid w:val="00301456"/>
    <w:rsid w:val="003571A0"/>
    <w:rsid w:val="003733CF"/>
    <w:rsid w:val="003A4F24"/>
    <w:rsid w:val="003C7855"/>
    <w:rsid w:val="003E3266"/>
    <w:rsid w:val="00400F72"/>
    <w:rsid w:val="004037E1"/>
    <w:rsid w:val="00422B27"/>
    <w:rsid w:val="00434D27"/>
    <w:rsid w:val="00443AF9"/>
    <w:rsid w:val="004C0B7F"/>
    <w:rsid w:val="004F590B"/>
    <w:rsid w:val="005606BD"/>
    <w:rsid w:val="00561F33"/>
    <w:rsid w:val="005F2D3B"/>
    <w:rsid w:val="00692ABA"/>
    <w:rsid w:val="006940FC"/>
    <w:rsid w:val="00740A52"/>
    <w:rsid w:val="007D33C5"/>
    <w:rsid w:val="007D4072"/>
    <w:rsid w:val="007E289E"/>
    <w:rsid w:val="0085203A"/>
    <w:rsid w:val="00863B88"/>
    <w:rsid w:val="008B635F"/>
    <w:rsid w:val="00905CD6"/>
    <w:rsid w:val="00955198"/>
    <w:rsid w:val="009B784B"/>
    <w:rsid w:val="009C689D"/>
    <w:rsid w:val="00A162A6"/>
    <w:rsid w:val="00A73975"/>
    <w:rsid w:val="00A91244"/>
    <w:rsid w:val="00B2572D"/>
    <w:rsid w:val="00B376D6"/>
    <w:rsid w:val="00B66147"/>
    <w:rsid w:val="00B67592"/>
    <w:rsid w:val="00B913CA"/>
    <w:rsid w:val="00B922C5"/>
    <w:rsid w:val="00BA09C5"/>
    <w:rsid w:val="00C21F17"/>
    <w:rsid w:val="00C500C0"/>
    <w:rsid w:val="00CC1B01"/>
    <w:rsid w:val="00CE4839"/>
    <w:rsid w:val="00CF178E"/>
    <w:rsid w:val="00D15E2C"/>
    <w:rsid w:val="00D31B3C"/>
    <w:rsid w:val="00D9517F"/>
    <w:rsid w:val="00D9522C"/>
    <w:rsid w:val="00E75A05"/>
    <w:rsid w:val="00ED6B60"/>
    <w:rsid w:val="00EF69CB"/>
    <w:rsid w:val="00EF76AF"/>
    <w:rsid w:val="00F05F68"/>
    <w:rsid w:val="00F65E06"/>
    <w:rsid w:val="00F9641A"/>
    <w:rsid w:val="00FA5F3B"/>
    <w:rsid w:val="2D608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53AB"/>
  <w15:chartTrackingRefBased/>
  <w15:docId w15:val="{C97844CA-F859-418A-93E1-AFC3AFB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6B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B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06B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06B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06B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06B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06B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06B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06B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06B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0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B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06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B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60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B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0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06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6DCF698198F49B11FEE18F80A5D17" ma:contentTypeVersion="16" ma:contentTypeDescription="Create a new document." ma:contentTypeScope="" ma:versionID="cc901ab80882e37e241a51c48ca0ac6c">
  <xsd:schema xmlns:xsd="http://www.w3.org/2001/XMLSchema" xmlns:xs="http://www.w3.org/2001/XMLSchema" xmlns:p="http://schemas.microsoft.com/office/2006/metadata/properties" xmlns:ns2="b56bdbfe-56ef-4ff3-99f1-a7370ff3d187" xmlns:ns3="556947b8-50e4-448b-a4a2-45d198859f9e" targetNamespace="http://schemas.microsoft.com/office/2006/metadata/properties" ma:root="true" ma:fieldsID="835fb133708afff80d15e3e75fc7ddb7" ns2:_="" ns3:_="">
    <xsd:import namespace="b56bdbfe-56ef-4ff3-99f1-a7370ff3d187"/>
    <xsd:import namespace="556947b8-50e4-448b-a4a2-45d198859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RedactYesor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dbfe-56ef-4ff3-99f1-a7370ff3d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RedactYesorNo" ma:index="23" nillable="true" ma:displayName="Redact Yes or No" ma:default="1" ma:format="Dropdown" ma:internalName="RedactYesor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47b8-50e4-448b-a4a2-45d198859f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244007-8335-4dda-88aa-48ba7a7d0f2e}" ma:internalName="TaxCatchAll" ma:showField="CatchAllData" ma:web="556947b8-50e4-448b-a4a2-45d198859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947b8-50e4-448b-a4a2-45d198859f9e" xsi:nil="true"/>
    <lcf76f155ced4ddcb4097134ff3c332f xmlns="b56bdbfe-56ef-4ff3-99f1-a7370ff3d187">
      <Terms xmlns="http://schemas.microsoft.com/office/infopath/2007/PartnerControls"/>
    </lcf76f155ced4ddcb4097134ff3c332f>
    <RedactYesorNo xmlns="b56bdbfe-56ef-4ff3-99f1-a7370ff3d187">true</RedactYesorNo>
  </documentManagement>
</p:properties>
</file>

<file path=customXml/itemProps1.xml><?xml version="1.0" encoding="utf-8"?>
<ds:datastoreItem xmlns:ds="http://schemas.openxmlformats.org/officeDocument/2006/customXml" ds:itemID="{4CB9DC42-2701-48BB-926A-EBF0BA9AA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BA733-B811-4B32-B7DF-C212411450C6}"/>
</file>

<file path=customXml/itemProps3.xml><?xml version="1.0" encoding="utf-8"?>
<ds:datastoreItem xmlns:ds="http://schemas.openxmlformats.org/officeDocument/2006/customXml" ds:itemID="{2E53EBCC-D029-451E-AF19-3E8688CD8102}"/>
</file>

<file path=customXml/itemProps4.xml><?xml version="1.0" encoding="utf-8"?>
<ds:datastoreItem xmlns:ds="http://schemas.openxmlformats.org/officeDocument/2006/customXml" ds:itemID="{946907CB-7AC2-4B16-8769-1A5DF3B695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Rankin</dc:creator>
  <cp:keywords/>
  <dc:description/>
  <cp:lastModifiedBy>Bradshawe, Helen</cp:lastModifiedBy>
  <cp:revision>61</cp:revision>
  <dcterms:created xsi:type="dcterms:W3CDTF">2025-08-12T14:33:00Z</dcterms:created>
  <dcterms:modified xsi:type="dcterms:W3CDTF">2025-08-29T12:59:58Z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0x010100F836DCF698198F49B11FEE18F80A5D17</vt:lpwstr>
  </property>
  <property fmtid="{D5CDD505-2E9C-101B-9397-08002B2CF9AE}" pid="3" name="MediaServiceImageTags">
    <vt:lpwstr/>
  </property>
</Properties>
</file>