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4F676" w14:textId="77777777" w:rsidR="00C147B4" w:rsidRPr="00C147B4" w:rsidRDefault="00C147B4" w:rsidP="00C147B4">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Knowsley Metropolitan Borough Council</w:t>
      </w:r>
    </w:p>
    <w:p w14:paraId="4F4FEA74" w14:textId="77777777" w:rsidR="00C147B4" w:rsidRPr="00C147B4" w:rsidRDefault="00C147B4" w:rsidP="00C147B4">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Workforce Monitoring Report</w:t>
      </w:r>
    </w:p>
    <w:p w14:paraId="47E238F6" w14:textId="77777777" w:rsidR="00C147B4" w:rsidRPr="00C147B4" w:rsidRDefault="00C147B4" w:rsidP="00C147B4">
      <w:pPr>
        <w:keepNext/>
        <w:keepLines/>
        <w:spacing w:before="40" w:after="0" w:line="259" w:lineRule="auto"/>
        <w:outlineLvl w:val="1"/>
        <w:rPr>
          <w:rFonts w:ascii="Calibri" w:eastAsia="Times New Roman" w:hAnsi="Calibri" w:cs="Calibri"/>
          <w:color w:val="548DD4"/>
          <w:sz w:val="72"/>
          <w:szCs w:val="72"/>
        </w:rPr>
      </w:pPr>
      <w:r w:rsidRPr="00C147B4">
        <w:rPr>
          <w:rFonts w:ascii="Calibri" w:eastAsia="Times New Roman" w:hAnsi="Calibri" w:cs="Calibri"/>
          <w:color w:val="548DD4"/>
          <w:sz w:val="72"/>
          <w:szCs w:val="72"/>
        </w:rPr>
        <w:t>2020</w:t>
      </w:r>
    </w:p>
    <w:p w14:paraId="4CB00085" w14:textId="77777777" w:rsidR="00C147B4" w:rsidRPr="00C147B4" w:rsidRDefault="00C147B4" w:rsidP="00C147B4">
      <w:pPr>
        <w:spacing w:before="240"/>
        <w:outlineLvl w:val="0"/>
        <w:rPr>
          <w:rFonts w:ascii="Calibri" w:eastAsia="Times New Roman" w:hAnsi="Calibri" w:cs="Arial"/>
          <w:sz w:val="24"/>
          <w:szCs w:val="24"/>
        </w:rPr>
      </w:pPr>
    </w:p>
    <w:p w14:paraId="1710CF47" w14:textId="77777777" w:rsidR="00C147B4" w:rsidRPr="00C147B4" w:rsidRDefault="00C147B4" w:rsidP="00C147B4">
      <w:pPr>
        <w:spacing w:before="240"/>
        <w:outlineLvl w:val="0"/>
        <w:rPr>
          <w:rFonts w:ascii="Calibri" w:eastAsia="Times New Roman" w:hAnsi="Calibri" w:cs="Arial"/>
          <w:sz w:val="24"/>
          <w:szCs w:val="24"/>
        </w:rPr>
      </w:pPr>
    </w:p>
    <w:p w14:paraId="7AEC8BEA" w14:textId="77777777" w:rsidR="00C147B4" w:rsidRPr="00C147B4" w:rsidRDefault="00C147B4" w:rsidP="00C147B4">
      <w:pPr>
        <w:spacing w:before="240"/>
        <w:outlineLvl w:val="0"/>
        <w:rPr>
          <w:rFonts w:ascii="Calibri" w:eastAsia="Times New Roman" w:hAnsi="Calibri" w:cs="Arial"/>
          <w:sz w:val="24"/>
          <w:szCs w:val="24"/>
        </w:rPr>
      </w:pPr>
    </w:p>
    <w:p w14:paraId="5FC087E4" w14:textId="77777777" w:rsidR="00C147B4" w:rsidRPr="00C147B4" w:rsidRDefault="00C147B4" w:rsidP="00C147B4">
      <w:pPr>
        <w:spacing w:before="240"/>
        <w:outlineLvl w:val="0"/>
        <w:rPr>
          <w:rFonts w:ascii="Calibri" w:eastAsia="Times New Roman" w:hAnsi="Calibri" w:cs="Arial"/>
          <w:sz w:val="24"/>
          <w:szCs w:val="24"/>
        </w:rPr>
      </w:pPr>
    </w:p>
    <w:p w14:paraId="782A27A4" w14:textId="77777777" w:rsidR="00C147B4" w:rsidRPr="00C147B4" w:rsidRDefault="00C147B4" w:rsidP="00C147B4">
      <w:pPr>
        <w:spacing w:before="240"/>
        <w:outlineLvl w:val="0"/>
        <w:rPr>
          <w:rFonts w:ascii="Calibri" w:eastAsia="Times New Roman" w:hAnsi="Calibri" w:cs="Arial"/>
          <w:sz w:val="24"/>
          <w:szCs w:val="24"/>
        </w:rPr>
      </w:pPr>
    </w:p>
    <w:p w14:paraId="043FBB6A" w14:textId="77777777" w:rsidR="00C147B4" w:rsidRPr="00C147B4" w:rsidRDefault="00C147B4" w:rsidP="00C147B4">
      <w:pPr>
        <w:spacing w:before="240"/>
        <w:outlineLvl w:val="0"/>
        <w:rPr>
          <w:rFonts w:ascii="Calibri" w:eastAsia="Times New Roman" w:hAnsi="Calibri" w:cs="Arial"/>
          <w:sz w:val="24"/>
          <w:szCs w:val="24"/>
        </w:rPr>
      </w:pPr>
    </w:p>
    <w:p w14:paraId="1C05764D" w14:textId="77777777" w:rsidR="00C147B4" w:rsidRPr="00C147B4" w:rsidRDefault="00C147B4" w:rsidP="00C147B4">
      <w:pPr>
        <w:spacing w:before="240"/>
        <w:outlineLvl w:val="0"/>
        <w:rPr>
          <w:rFonts w:ascii="Calibri" w:eastAsia="Times New Roman" w:hAnsi="Calibri" w:cs="Arial"/>
          <w:sz w:val="24"/>
          <w:szCs w:val="24"/>
        </w:rPr>
      </w:pPr>
    </w:p>
    <w:p w14:paraId="18982292" w14:textId="77777777" w:rsidR="00C147B4" w:rsidRPr="00C147B4" w:rsidRDefault="00C147B4" w:rsidP="00C147B4">
      <w:pPr>
        <w:spacing w:before="240"/>
        <w:outlineLvl w:val="0"/>
        <w:rPr>
          <w:rFonts w:ascii="Calibri" w:eastAsia="Times New Roman" w:hAnsi="Calibri" w:cs="Arial"/>
          <w:sz w:val="24"/>
          <w:szCs w:val="24"/>
        </w:rPr>
      </w:pPr>
    </w:p>
    <w:p w14:paraId="1F72F02A" w14:textId="77777777" w:rsidR="00C147B4" w:rsidRPr="00C147B4" w:rsidRDefault="00C147B4" w:rsidP="00C147B4">
      <w:pPr>
        <w:spacing w:before="240"/>
        <w:outlineLvl w:val="0"/>
        <w:rPr>
          <w:rFonts w:ascii="Calibri" w:eastAsia="Times New Roman" w:hAnsi="Calibri" w:cs="Arial"/>
          <w:sz w:val="24"/>
          <w:szCs w:val="24"/>
        </w:rPr>
      </w:pPr>
    </w:p>
    <w:p w14:paraId="17744CC8" w14:textId="77777777" w:rsidR="00C147B4" w:rsidRPr="00C147B4" w:rsidRDefault="00C147B4" w:rsidP="00C147B4">
      <w:pPr>
        <w:spacing w:before="240"/>
        <w:outlineLvl w:val="0"/>
        <w:rPr>
          <w:rFonts w:ascii="Calibri" w:eastAsia="Times New Roman" w:hAnsi="Calibri" w:cs="Arial"/>
          <w:sz w:val="24"/>
          <w:szCs w:val="24"/>
        </w:rPr>
      </w:pPr>
    </w:p>
    <w:p w14:paraId="63B2601B" w14:textId="77777777" w:rsidR="00C147B4" w:rsidRPr="00C147B4" w:rsidRDefault="00C147B4" w:rsidP="00C147B4">
      <w:pPr>
        <w:spacing w:before="240"/>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Executive Summary  </w:t>
      </w:r>
    </w:p>
    <w:p w14:paraId="4D1DE8A3"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Introduction and Purpose   </w:t>
      </w:r>
    </w:p>
    <w:p w14:paraId="0F72A696" w14:textId="77777777"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Workforce Profile helps the Council meet the Equality Act 2010, General Equality Duty to:   </w:t>
      </w:r>
    </w:p>
    <w:p w14:paraId="3C6D7526" w14:textId="77777777" w:rsidR="00C147B4" w:rsidRPr="00C147B4" w:rsidRDefault="00C147B4" w:rsidP="00C147B4">
      <w:pPr>
        <w:numPr>
          <w:ilvl w:val="0"/>
          <w:numId w:val="39"/>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Eliminate unlawful discrimination, harassment and victimisation;  </w:t>
      </w:r>
    </w:p>
    <w:p w14:paraId="4E341689" w14:textId="77777777" w:rsidR="00C147B4" w:rsidRPr="00C147B4" w:rsidRDefault="00C147B4" w:rsidP="00C147B4">
      <w:pPr>
        <w:numPr>
          <w:ilvl w:val="0"/>
          <w:numId w:val="39"/>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Advance equality of opportunity; and </w:t>
      </w:r>
    </w:p>
    <w:p w14:paraId="3974183B" w14:textId="77777777" w:rsidR="00C147B4" w:rsidRDefault="00C147B4" w:rsidP="00C147B4">
      <w:pPr>
        <w:numPr>
          <w:ilvl w:val="0"/>
          <w:numId w:val="39"/>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Foster good relations. </w:t>
      </w:r>
    </w:p>
    <w:p w14:paraId="3F51568B" w14:textId="7CBB5335" w:rsidR="00C147B4" w:rsidRPr="00C147B4" w:rsidRDefault="00C147B4" w:rsidP="00C147B4">
      <w:pPr>
        <w:ind w:left="720"/>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  </w:t>
      </w:r>
    </w:p>
    <w:p w14:paraId="2E71E4FE" w14:textId="77777777"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Workforce Profile is a valuable resource to help monitor the workforce and provide year on year benchmarking information to assist workforce planning.  The Workforce Profile also supports the Council’s Equality and Diversity Policy Statement and provides intelligence and evidence for the Workforce Development Strategy.   </w:t>
      </w:r>
    </w:p>
    <w:p w14:paraId="626ABD96"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Background </w:t>
      </w:r>
    </w:p>
    <w:p w14:paraId="33F8111D" w14:textId="77777777"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As part of the council’s obligations under the Equality Act 2010 we are required to publish information on our workforce and how we engage with the community broken down by the protected characteristics which are: age, disability, gender identity, pregnancy and maternity, race, religion and belief, sex (gender) and sexual orientation.  Marriage and civil partnership is also a protected characteristic but reporting is not required.   Knowsley Council has been monitoring the workforce by age, sex, race, religion and belief and disability since 2000.  Reporting on sexual orientation begins in 2021 and it is hoped there will be enough data to report on for the 2022 report.  Currently gender identity isn’t monitored. </w:t>
      </w:r>
    </w:p>
    <w:p w14:paraId="4EB55568" w14:textId="2926A442" w:rsidR="00C147B4" w:rsidRPr="00C147B4" w:rsidRDefault="00C147B4" w:rsidP="00C147B4">
      <w:pPr>
        <w:rPr>
          <w:rFonts w:ascii="Calibri" w:eastAsia="Times New Roman" w:hAnsi="Calibri" w:cs="Times New Roman"/>
        </w:rPr>
      </w:pPr>
      <w:r w:rsidRPr="00C147B4">
        <w:rPr>
          <w:rFonts w:ascii="Calibri" w:eastAsia="Times New Roman" w:hAnsi="Calibri" w:cs="Times New Roman"/>
        </w:rPr>
        <w:t>Two staff surveys were conducted during 2020 both focused on h</w:t>
      </w:r>
      <w:r>
        <w:rPr>
          <w:rFonts w:ascii="Calibri" w:eastAsia="Times New Roman" w:hAnsi="Calibri" w:cs="Times New Roman"/>
        </w:rPr>
        <w:t xml:space="preserve">ow staff who were working from </w:t>
      </w:r>
      <w:r w:rsidRPr="00C147B4">
        <w:rPr>
          <w:rFonts w:ascii="Calibri" w:eastAsia="Times New Roman" w:hAnsi="Calibri" w:cs="Times New Roman"/>
        </w:rPr>
        <w:t>home were adapting to the new way of working.  There were no marked differences to any of the questions by protected characteristic group.</w:t>
      </w:r>
    </w:p>
    <w:p w14:paraId="47B14BCA" w14:textId="325F67F1" w:rsidR="00C147B4" w:rsidRDefault="00C147B4" w:rsidP="00C147B4">
      <w:pPr>
        <w:outlineLvl w:val="1"/>
        <w:rPr>
          <w:rFonts w:ascii="Calibri" w:eastAsia="Times New Roman" w:hAnsi="Calibri" w:cs="Arial"/>
          <w:b/>
          <w:sz w:val="24"/>
          <w:szCs w:val="24"/>
        </w:rPr>
      </w:pPr>
    </w:p>
    <w:p w14:paraId="4AA7FF84" w14:textId="6C33B870" w:rsidR="00C147B4" w:rsidRPr="00C147B4" w:rsidRDefault="00C147B4" w:rsidP="00C147B4">
      <w:pPr>
        <w:outlineLvl w:val="1"/>
        <w:rPr>
          <w:rFonts w:ascii="Calibri" w:eastAsia="Times New Roman" w:hAnsi="Calibri" w:cs="Arial"/>
          <w:b/>
          <w:sz w:val="24"/>
          <w:szCs w:val="24"/>
        </w:rPr>
      </w:pPr>
    </w:p>
    <w:p w14:paraId="77B56D81"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lastRenderedPageBreak/>
        <w:t>Gender Pay Gap Reporting</w:t>
      </w:r>
    </w:p>
    <w:p w14:paraId="0636E800" w14:textId="52AE22AA" w:rsidR="00C147B4" w:rsidRPr="00C147B4" w:rsidRDefault="00C147B4" w:rsidP="00C147B4">
      <w:pPr>
        <w:rPr>
          <w:rFonts w:ascii="Calibri" w:eastAsia="Times New Roman" w:hAnsi="Calibri" w:cs="Times New Roman"/>
        </w:rPr>
      </w:pPr>
      <w:r w:rsidRPr="00C147B4">
        <w:rPr>
          <w:rFonts w:ascii="Calibri" w:eastAsia="Times New Roman" w:hAnsi="Calibri" w:cs="Times New Roman"/>
          <w:color w:val="000000"/>
        </w:rPr>
        <w:t xml:space="preserve">The council’s first Gender Pay Gap report was published in March 2018, reporting on data from the pay period March 2017. Following the first report it was decided that we would complete the future Gender Pay Gap reports in the autumn so that its findings could be used to inform the council’s pay policy statement.  All past Gender Pay Gap reports are available along with previous workforce monitoring reports on </w:t>
      </w:r>
      <w:hyperlink r:id="rId10" w:history="1">
        <w:r w:rsidRPr="00C147B4">
          <w:rPr>
            <w:rFonts w:ascii="Calibri" w:eastAsia="Times New Roman" w:hAnsi="Calibri" w:cs="Times New Roman"/>
            <w:color w:val="0000FF"/>
            <w:u w:val="single"/>
          </w:rPr>
          <w:t>our website.</w:t>
        </w:r>
      </w:hyperlink>
      <w:r w:rsidRPr="00C147B4">
        <w:rPr>
          <w:rFonts w:ascii="Calibri" w:eastAsia="Times New Roman" w:hAnsi="Calibri" w:cs="Times New Roman"/>
          <w:color w:val="0000FF"/>
          <w:u w:val="single"/>
        </w:rPr>
        <w:t xml:space="preserve"> </w:t>
      </w:r>
    </w:p>
    <w:p w14:paraId="036EFE7A" w14:textId="77777777" w:rsidR="00C147B4" w:rsidRPr="00C147B4" w:rsidRDefault="00C147B4" w:rsidP="00C147B4">
      <w:pPr>
        <w:spacing w:before="240"/>
        <w:outlineLvl w:val="1"/>
        <w:rPr>
          <w:rFonts w:ascii="Calibri" w:eastAsia="Times New Roman" w:hAnsi="Calibri" w:cs="Arial"/>
          <w:b/>
          <w:sz w:val="24"/>
          <w:szCs w:val="24"/>
        </w:rPr>
      </w:pPr>
      <w:r w:rsidRPr="00C147B4">
        <w:rPr>
          <w:rFonts w:ascii="Calibri" w:eastAsia="Times New Roman" w:hAnsi="Calibri" w:cs="Arial"/>
          <w:b/>
          <w:sz w:val="24"/>
          <w:szCs w:val="24"/>
        </w:rPr>
        <w:t xml:space="preserve">Equality Act 2010 </w:t>
      </w:r>
    </w:p>
    <w:p w14:paraId="542543D1" w14:textId="77777777"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Under the Equality Act 2010 specific duty - “Equality information and the equality duty: A guide for public authorities”</w:t>
      </w:r>
      <w:r w:rsidRPr="00C147B4">
        <w:rPr>
          <w:rFonts w:ascii="Calibri" w:eastAsia="Times New Roman" w:hAnsi="Calibri" w:cs="Arial"/>
          <w:color w:val="000000"/>
          <w:sz w:val="24"/>
          <w:szCs w:val="24"/>
          <w:vertAlign w:val="superscript"/>
        </w:rPr>
        <w:footnoteReference w:id="1"/>
      </w:r>
      <w:r w:rsidRPr="00C147B4">
        <w:rPr>
          <w:rFonts w:ascii="Calibri" w:eastAsia="Times New Roman" w:hAnsi="Calibri" w:cs="Arial"/>
          <w:color w:val="000000"/>
          <w:sz w:val="24"/>
          <w:szCs w:val="24"/>
        </w:rPr>
        <w:t xml:space="preserve">, as Knowsley MBC employ more than 150 people, we are required to report: </w:t>
      </w:r>
    </w:p>
    <w:p w14:paraId="34A79D4A"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number of part-time and full-time staff; </w:t>
      </w:r>
    </w:p>
    <w:p w14:paraId="1D49FD19"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Recruitment, promotion and performance reviews;</w:t>
      </w:r>
    </w:p>
    <w:p w14:paraId="3A7F5A0F"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Access to Training; </w:t>
      </w:r>
    </w:p>
    <w:p w14:paraId="42AED135"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Redundancy and leavers;  </w:t>
      </w:r>
    </w:p>
    <w:p w14:paraId="479CBD56"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Grievances and dismissals, including reported incidences of harassment; </w:t>
      </w:r>
    </w:p>
    <w:p w14:paraId="63187956"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The rates of return to work of women on maternity leave; </w:t>
      </w:r>
    </w:p>
    <w:p w14:paraId="3CF3C411"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Public office holders such as the members of your Board or committees;</w:t>
      </w:r>
    </w:p>
    <w:p w14:paraId="6EB58243" w14:textId="77777777" w:rsidR="00C147B4" w:rsidRPr="00C147B4" w:rsidRDefault="00C147B4" w:rsidP="00C147B4">
      <w:pPr>
        <w:numPr>
          <w:ilvl w:val="0"/>
          <w:numId w:val="37"/>
        </w:numPr>
        <w:contextualSpacing/>
        <w:rPr>
          <w:rFonts w:ascii="Calibri" w:eastAsia="Times New Roman" w:hAnsi="Calibri" w:cs="Arial"/>
          <w:sz w:val="24"/>
          <w:szCs w:val="24"/>
        </w:rPr>
      </w:pPr>
      <w:r w:rsidRPr="00C147B4">
        <w:rPr>
          <w:rFonts w:ascii="Calibri" w:eastAsia="Times New Roman" w:hAnsi="Calibri" w:cs="Arial"/>
          <w:color w:val="000000"/>
          <w:sz w:val="24"/>
          <w:szCs w:val="24"/>
        </w:rPr>
        <w:t xml:space="preserve">Gender pay gap information, part time and full time; </w:t>
      </w:r>
      <w:hyperlink r:id="rId11" w:history="1">
        <w:r w:rsidRPr="00C147B4">
          <w:rPr>
            <w:rFonts w:ascii="Calibri" w:eastAsia="Times New Roman" w:hAnsi="Calibri" w:cs="Arial"/>
            <w:color w:val="0000FF"/>
            <w:sz w:val="24"/>
            <w:szCs w:val="24"/>
            <w:u w:val="single"/>
          </w:rPr>
          <w:t>(Gender Pay Gap Report)</w:t>
        </w:r>
      </w:hyperlink>
    </w:p>
    <w:p w14:paraId="4453261F"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Black and minority ethnic (BME) pay gap; </w:t>
      </w:r>
    </w:p>
    <w:p w14:paraId="44EA4EC0"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Disability pay gap; </w:t>
      </w:r>
    </w:p>
    <w:p w14:paraId="6BDBED45"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 xml:space="preserve">Success rates of job applicants; breakdown of applicants; shortlisted and successful; Applications for promotion and success rates; </w:t>
      </w:r>
    </w:p>
    <w:p w14:paraId="6F2A61E1"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Leavers report;</w:t>
      </w:r>
    </w:p>
    <w:p w14:paraId="47F9F1A5"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Length of service; and</w:t>
      </w:r>
    </w:p>
    <w:p w14:paraId="5AB818FD" w14:textId="77777777" w:rsidR="00C147B4" w:rsidRPr="00C147B4" w:rsidRDefault="00C147B4" w:rsidP="00C147B4">
      <w:pPr>
        <w:numPr>
          <w:ilvl w:val="0"/>
          <w:numId w:val="37"/>
        </w:numPr>
        <w:contextualSpacing/>
        <w:rPr>
          <w:rFonts w:ascii="Calibri" w:eastAsia="Times New Roman" w:hAnsi="Calibri" w:cs="Arial"/>
          <w:color w:val="000000"/>
          <w:sz w:val="24"/>
          <w:szCs w:val="24"/>
        </w:rPr>
      </w:pPr>
      <w:r w:rsidRPr="00C147B4">
        <w:rPr>
          <w:rFonts w:ascii="Calibri" w:eastAsia="Times New Roman" w:hAnsi="Calibri" w:cs="Arial"/>
          <w:color w:val="000000"/>
          <w:sz w:val="24"/>
          <w:szCs w:val="24"/>
        </w:rPr>
        <w:t>An indication of any issues for transsexual staff, based on your engagement with transsexual staff or voluntary groups.</w:t>
      </w:r>
    </w:p>
    <w:p w14:paraId="63A377C7"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lastRenderedPageBreak/>
        <w:t xml:space="preserve">Data limitations </w:t>
      </w:r>
    </w:p>
    <w:p w14:paraId="1136ED47" w14:textId="77777777" w:rsidR="00C147B4" w:rsidRPr="00C147B4" w:rsidRDefault="00C147B4" w:rsidP="00C147B4">
      <w:pPr>
        <w:rPr>
          <w:rFonts w:ascii="Calibri" w:eastAsia="Times New Roman" w:hAnsi="Calibri" w:cs="Arial"/>
          <w:color w:val="000000"/>
          <w:sz w:val="24"/>
          <w:szCs w:val="24"/>
        </w:rPr>
      </w:pPr>
      <w:r w:rsidRPr="00C147B4">
        <w:rPr>
          <w:rFonts w:ascii="Calibri" w:eastAsia="Times New Roman" w:hAnsi="Calibri" w:cs="Arial"/>
          <w:color w:val="000000"/>
          <w:sz w:val="24"/>
          <w:szCs w:val="24"/>
        </w:rPr>
        <w:t>The data cover all employees except schools unless stated.  It is current as of 30</w:t>
      </w:r>
      <w:r w:rsidRPr="00C147B4">
        <w:rPr>
          <w:rFonts w:ascii="Calibri" w:eastAsia="Times New Roman" w:hAnsi="Calibri" w:cs="Arial"/>
          <w:color w:val="000000"/>
          <w:sz w:val="24"/>
          <w:szCs w:val="24"/>
          <w:vertAlign w:val="superscript"/>
        </w:rPr>
        <w:t>th</w:t>
      </w:r>
      <w:r w:rsidRPr="00C147B4">
        <w:rPr>
          <w:rFonts w:ascii="Calibri" w:eastAsia="Times New Roman" w:hAnsi="Calibri" w:cs="Arial"/>
          <w:color w:val="000000"/>
          <w:sz w:val="24"/>
          <w:szCs w:val="24"/>
        </w:rPr>
        <w:t xml:space="preserve"> March 2020: </w:t>
      </w:r>
    </w:p>
    <w:p w14:paraId="03398A6C" w14:textId="77777777" w:rsidR="00C147B4" w:rsidRPr="00C147B4" w:rsidRDefault="00C147B4" w:rsidP="00C147B4">
      <w:pPr>
        <w:numPr>
          <w:ilvl w:val="0"/>
          <w:numId w:val="37"/>
        </w:numPr>
        <w:contextualSpacing/>
        <w:rPr>
          <w:rFonts w:ascii="Calibri" w:eastAsia="Times New Roman" w:hAnsi="Calibri" w:cs="Arial"/>
          <w:sz w:val="24"/>
          <w:szCs w:val="24"/>
        </w:rPr>
      </w:pPr>
      <w:r w:rsidRPr="00C147B4">
        <w:rPr>
          <w:rFonts w:ascii="Calibri" w:eastAsia="Times New Roman" w:hAnsi="Calibri" w:cs="Arial"/>
          <w:sz w:val="24"/>
          <w:szCs w:val="24"/>
        </w:rPr>
        <w:t xml:space="preserve">80% of the workforce has declared their ethnicity;  </w:t>
      </w:r>
    </w:p>
    <w:p w14:paraId="51800B9A" w14:textId="77777777" w:rsidR="00C147B4" w:rsidRPr="00C147B4" w:rsidRDefault="00C147B4" w:rsidP="00C147B4">
      <w:pPr>
        <w:numPr>
          <w:ilvl w:val="0"/>
          <w:numId w:val="37"/>
        </w:numPr>
        <w:contextualSpacing/>
        <w:rPr>
          <w:rFonts w:ascii="Calibri" w:eastAsia="Times New Roman" w:hAnsi="Calibri" w:cs="Arial"/>
          <w:sz w:val="24"/>
          <w:szCs w:val="24"/>
        </w:rPr>
      </w:pPr>
      <w:r w:rsidRPr="00C147B4">
        <w:rPr>
          <w:rFonts w:ascii="Calibri" w:eastAsia="Times New Roman" w:hAnsi="Calibri" w:cs="Arial"/>
          <w:sz w:val="24"/>
          <w:szCs w:val="24"/>
        </w:rPr>
        <w:t>69% of the workforce has declared their disability status;</w:t>
      </w:r>
    </w:p>
    <w:p w14:paraId="3849FFE5" w14:textId="77777777" w:rsidR="00C147B4" w:rsidRPr="00C147B4" w:rsidRDefault="00C147B4" w:rsidP="00C147B4">
      <w:pPr>
        <w:numPr>
          <w:ilvl w:val="0"/>
          <w:numId w:val="37"/>
        </w:numPr>
        <w:contextualSpacing/>
        <w:rPr>
          <w:rFonts w:ascii="Calibri" w:eastAsia="Times New Roman" w:hAnsi="Calibri" w:cs="Arial"/>
          <w:sz w:val="24"/>
          <w:szCs w:val="24"/>
        </w:rPr>
      </w:pPr>
      <w:r w:rsidRPr="00C147B4">
        <w:rPr>
          <w:rFonts w:ascii="Calibri" w:eastAsia="Times New Roman" w:hAnsi="Calibri" w:cs="Arial"/>
          <w:sz w:val="24"/>
          <w:szCs w:val="24"/>
        </w:rPr>
        <w:t xml:space="preserve">71% of the workforce has declared their religion or belief; </w:t>
      </w:r>
    </w:p>
    <w:p w14:paraId="09EAC2B8" w14:textId="77777777" w:rsidR="00C147B4" w:rsidRPr="00C147B4" w:rsidRDefault="00C147B4" w:rsidP="00C147B4">
      <w:pPr>
        <w:numPr>
          <w:ilvl w:val="0"/>
          <w:numId w:val="37"/>
        </w:numPr>
        <w:contextualSpacing/>
        <w:rPr>
          <w:rFonts w:ascii="Calibri" w:eastAsia="Times New Roman" w:hAnsi="Calibri" w:cs="Arial"/>
          <w:sz w:val="24"/>
          <w:szCs w:val="24"/>
        </w:rPr>
      </w:pPr>
      <w:r w:rsidRPr="00C147B4">
        <w:rPr>
          <w:rFonts w:ascii="Calibri" w:eastAsia="Times New Roman" w:hAnsi="Calibri" w:cs="Arial"/>
          <w:sz w:val="24"/>
          <w:szCs w:val="24"/>
        </w:rPr>
        <w:t xml:space="preserve">25% of the unknowns are casual staff who are often only working for a few hours or for a few weeks (e.g. election canvassers) at a time.  For the purposes of headcount, the casual staff are included.  However, for the purposes of calculating the pay gaps only staff with a permanent contract are counted if they worked in the relevant pay period as per Gender Pay Gap Guidelines. </w:t>
      </w:r>
    </w:p>
    <w:p w14:paraId="0E3CCE1C" w14:textId="77777777" w:rsidR="00C147B4" w:rsidRPr="00C147B4" w:rsidRDefault="00C147B4" w:rsidP="00C147B4">
      <w:pPr>
        <w:numPr>
          <w:ilvl w:val="0"/>
          <w:numId w:val="37"/>
        </w:numPr>
        <w:contextualSpacing/>
        <w:rPr>
          <w:rFonts w:ascii="Calibri" w:eastAsia="Times New Roman" w:hAnsi="Calibri" w:cs="Arial"/>
          <w:sz w:val="24"/>
          <w:szCs w:val="24"/>
        </w:rPr>
      </w:pPr>
      <w:r w:rsidRPr="00C147B4">
        <w:rPr>
          <w:rFonts w:ascii="Calibri" w:eastAsia="Times New Roman" w:hAnsi="Calibri" w:cs="Arial"/>
          <w:sz w:val="24"/>
          <w:szCs w:val="24"/>
        </w:rPr>
        <w:t xml:space="preserve">We cannot provide a breakdown of applications for flexible working and success rates as these are agreed between employees and their line managers, nothing is held centrally.  </w:t>
      </w:r>
    </w:p>
    <w:p w14:paraId="4DBBC3AA" w14:textId="77777777" w:rsidR="00C147B4" w:rsidRPr="00C147B4" w:rsidRDefault="00C147B4" w:rsidP="00C147B4">
      <w:pPr>
        <w:numPr>
          <w:ilvl w:val="0"/>
          <w:numId w:val="37"/>
        </w:numPr>
        <w:contextualSpacing/>
        <w:rPr>
          <w:rFonts w:ascii="Calibri" w:eastAsia="Times New Roman" w:hAnsi="Calibri" w:cs="Arial"/>
          <w:sz w:val="24"/>
          <w:szCs w:val="24"/>
        </w:rPr>
      </w:pPr>
      <w:r w:rsidRPr="00C147B4">
        <w:rPr>
          <w:rFonts w:ascii="Calibri" w:eastAsia="Times New Roman" w:hAnsi="Calibri" w:cs="Arial"/>
          <w:sz w:val="24"/>
          <w:szCs w:val="24"/>
        </w:rPr>
        <w:t xml:space="preserve">Throughout the report the numbers of “unknowns” are subtracted from the total before the percentages can be calculated.   </w:t>
      </w:r>
    </w:p>
    <w:p w14:paraId="374E3324" w14:textId="77777777" w:rsidR="00C147B4" w:rsidRPr="00C147B4" w:rsidRDefault="00C147B4" w:rsidP="00C147B4">
      <w:pPr>
        <w:rPr>
          <w:rFonts w:ascii="Calibri" w:eastAsia="Times New Roman" w:hAnsi="Calibri" w:cs="Arial"/>
          <w:sz w:val="24"/>
          <w:szCs w:val="24"/>
        </w:rPr>
      </w:pPr>
    </w:p>
    <w:p w14:paraId="4E0CB283" w14:textId="77777777" w:rsidR="00C147B4" w:rsidRPr="00C147B4" w:rsidRDefault="00C147B4" w:rsidP="00C147B4">
      <w:pPr>
        <w:rPr>
          <w:rFonts w:ascii="Calibri" w:eastAsia="Times New Roman" w:hAnsi="Calibri" w:cs="Arial"/>
          <w:sz w:val="24"/>
          <w:szCs w:val="24"/>
        </w:rPr>
      </w:pPr>
    </w:p>
    <w:p w14:paraId="58291B8A" w14:textId="77777777" w:rsidR="00C147B4" w:rsidRPr="00C147B4" w:rsidRDefault="00C147B4" w:rsidP="00C147B4">
      <w:pPr>
        <w:rPr>
          <w:rFonts w:ascii="Calibri" w:eastAsia="Times New Roman" w:hAnsi="Calibri" w:cs="Arial"/>
          <w:sz w:val="24"/>
          <w:szCs w:val="24"/>
        </w:rPr>
      </w:pPr>
    </w:p>
    <w:p w14:paraId="3C124FB4" w14:textId="77777777" w:rsidR="00C147B4" w:rsidRPr="00C147B4" w:rsidRDefault="00C147B4" w:rsidP="00C147B4">
      <w:pPr>
        <w:rPr>
          <w:rFonts w:ascii="Calibri" w:eastAsia="Times New Roman" w:hAnsi="Calibri" w:cs="Arial"/>
          <w:sz w:val="24"/>
          <w:szCs w:val="24"/>
        </w:rPr>
      </w:pPr>
    </w:p>
    <w:p w14:paraId="25888CAD" w14:textId="77777777" w:rsidR="00C147B4" w:rsidRPr="00C147B4" w:rsidRDefault="00C147B4" w:rsidP="00C147B4">
      <w:pPr>
        <w:rPr>
          <w:rFonts w:ascii="Calibri" w:eastAsia="Times New Roman" w:hAnsi="Calibri" w:cs="Arial"/>
          <w:sz w:val="24"/>
          <w:szCs w:val="24"/>
        </w:rPr>
      </w:pPr>
    </w:p>
    <w:p w14:paraId="02898BFD" w14:textId="77777777" w:rsidR="00C147B4" w:rsidRPr="00C147B4" w:rsidRDefault="00C147B4" w:rsidP="00C147B4">
      <w:pPr>
        <w:rPr>
          <w:rFonts w:ascii="Calibri" w:eastAsia="Times New Roman" w:hAnsi="Calibri" w:cs="Arial"/>
          <w:sz w:val="24"/>
          <w:szCs w:val="24"/>
        </w:rPr>
      </w:pPr>
    </w:p>
    <w:p w14:paraId="71CC12CB" w14:textId="58535964" w:rsid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 xml:space="preserve"> </w:t>
      </w:r>
    </w:p>
    <w:p w14:paraId="1099300A" w14:textId="7185912A" w:rsidR="002A1A32" w:rsidRDefault="002A1A32" w:rsidP="00C147B4">
      <w:pPr>
        <w:rPr>
          <w:rFonts w:ascii="Calibri" w:eastAsia="Times New Roman" w:hAnsi="Calibri" w:cs="Arial"/>
          <w:sz w:val="24"/>
          <w:szCs w:val="24"/>
        </w:rPr>
      </w:pPr>
    </w:p>
    <w:p w14:paraId="2C1EE7C1" w14:textId="77777777" w:rsidR="002A1A32" w:rsidRPr="00C147B4" w:rsidRDefault="002A1A32" w:rsidP="00C147B4">
      <w:pPr>
        <w:rPr>
          <w:rFonts w:ascii="Calibri" w:eastAsia="Times New Roman" w:hAnsi="Calibri" w:cs="Arial"/>
          <w:sz w:val="24"/>
          <w:szCs w:val="24"/>
        </w:rPr>
      </w:pPr>
    </w:p>
    <w:p w14:paraId="3CF9E431" w14:textId="77777777" w:rsidR="00C147B4" w:rsidRPr="00C147B4" w:rsidRDefault="00C147B4" w:rsidP="00C147B4">
      <w:pPr>
        <w:spacing w:before="240"/>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Workforce Profile </w:t>
      </w:r>
    </w:p>
    <w:p w14:paraId="59B412AD"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 xml:space="preserve">Headline figures </w:t>
      </w:r>
    </w:p>
    <w:p w14:paraId="6C3D5FBF" w14:textId="77777777" w:rsidR="00C147B4" w:rsidRPr="00C147B4" w:rsidRDefault="00C147B4" w:rsidP="00C147B4">
      <w:pPr>
        <w:rPr>
          <w:rFonts w:ascii="Calibri" w:eastAsia="Times New Roman" w:hAnsi="Calibri" w:cs="Arial"/>
          <w:color w:val="7030A0"/>
          <w:sz w:val="24"/>
          <w:szCs w:val="24"/>
        </w:rPr>
      </w:pPr>
      <w:r w:rsidRPr="00C147B4">
        <w:rPr>
          <w:rFonts w:ascii="Calibri" w:eastAsia="Times New Roman" w:hAnsi="Calibri" w:cs="Arial"/>
          <w:sz w:val="24"/>
          <w:szCs w:val="24"/>
        </w:rPr>
        <w:t>The 2020 profile below provides a snapshot of the workforce; the data is current as of 31</w:t>
      </w:r>
      <w:r w:rsidRPr="00C147B4">
        <w:rPr>
          <w:rFonts w:ascii="Calibri" w:eastAsia="Times New Roman" w:hAnsi="Calibri" w:cs="Arial"/>
          <w:sz w:val="24"/>
          <w:szCs w:val="24"/>
          <w:vertAlign w:val="superscript"/>
        </w:rPr>
        <w:t>st</w:t>
      </w:r>
      <w:r w:rsidRPr="00C147B4">
        <w:rPr>
          <w:rFonts w:ascii="Calibri" w:eastAsia="Times New Roman" w:hAnsi="Calibri" w:cs="Arial"/>
          <w:sz w:val="24"/>
          <w:szCs w:val="24"/>
        </w:rPr>
        <w:t xml:space="preserve"> March 2020.  </w:t>
      </w:r>
      <w:r w:rsidRPr="00C147B4">
        <w:rPr>
          <w:rFonts w:ascii="Calibri" w:eastAsia="Times New Roman" w:hAnsi="Calibri" w:cs="Times New Roman"/>
          <w:sz w:val="24"/>
          <w:szCs w:val="24"/>
        </w:rPr>
        <w:t>Knowsley Council’s workforce headcount was 2,446 staff (2,897 including casual staff</w:t>
      </w:r>
      <w:r w:rsidRPr="00C147B4">
        <w:rPr>
          <w:rFonts w:ascii="Calibri" w:eastAsia="Times New Roman" w:hAnsi="Calibri" w:cs="Arial"/>
          <w:sz w:val="24"/>
          <w:szCs w:val="24"/>
        </w:rPr>
        <w:t>).</w:t>
      </w:r>
    </w:p>
    <w:p w14:paraId="098F079E"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 xml:space="preserve">1,475 members of staff are full time;   </w:t>
      </w:r>
    </w:p>
    <w:p w14:paraId="4F23FB29"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 xml:space="preserve">927 members of staff are part time;   </w:t>
      </w:r>
    </w:p>
    <w:p w14:paraId="326727AA"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 xml:space="preserve">405 members of staff are casual; </w:t>
      </w:r>
    </w:p>
    <w:p w14:paraId="3A698172"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 xml:space="preserve">72% of the Council’s employees are female;  </w:t>
      </w:r>
    </w:p>
    <w:p w14:paraId="7C97C056"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 xml:space="preserve">Out of the 2,446 members of staff 860 (50%) are female and part-time; </w:t>
      </w:r>
    </w:p>
    <w:p w14:paraId="64BA9FD9"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 xml:space="preserve">5.1% of the workforce identify themselves as having a disability; </w:t>
      </w:r>
    </w:p>
    <w:p w14:paraId="6693245E"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1.6% of Council employees are BME compared to 2.57% of Knowsley’s working age residential population</w:t>
      </w:r>
      <w:r w:rsidRPr="00C147B4">
        <w:rPr>
          <w:rFonts w:ascii="Calibri" w:eastAsia="Times New Roman" w:hAnsi="Calibri" w:cs="Arial"/>
          <w:sz w:val="24"/>
          <w:szCs w:val="24"/>
          <w:vertAlign w:val="superscript"/>
        </w:rPr>
        <w:footnoteReference w:id="2"/>
      </w:r>
      <w:r w:rsidRPr="00C147B4">
        <w:rPr>
          <w:rFonts w:ascii="Calibri" w:eastAsia="Times New Roman" w:hAnsi="Calibri" w:cs="Arial"/>
          <w:sz w:val="24"/>
          <w:szCs w:val="24"/>
        </w:rPr>
        <w:t xml:space="preserve">; </w:t>
      </w:r>
    </w:p>
    <w:p w14:paraId="35E71080"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 xml:space="preserve">68% of the workforce have stated that they are Christian;  </w:t>
      </w:r>
    </w:p>
    <w:p w14:paraId="7C70DCFB"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 xml:space="preserve">22% of the workforce have stated that they have no religion or belief; </w:t>
      </w:r>
    </w:p>
    <w:p w14:paraId="10DA8B43"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31% is aged 55-64; and</w:t>
      </w:r>
    </w:p>
    <w:p w14:paraId="2B1D4968" w14:textId="77777777" w:rsidR="00C147B4" w:rsidRPr="00C147B4" w:rsidRDefault="00C147B4" w:rsidP="00C147B4">
      <w:pPr>
        <w:numPr>
          <w:ilvl w:val="0"/>
          <w:numId w:val="40"/>
        </w:numPr>
        <w:contextualSpacing/>
        <w:rPr>
          <w:rFonts w:ascii="Calibri" w:eastAsia="Times New Roman" w:hAnsi="Calibri" w:cs="Arial"/>
          <w:sz w:val="24"/>
          <w:szCs w:val="24"/>
        </w:rPr>
      </w:pPr>
      <w:r w:rsidRPr="00C147B4">
        <w:rPr>
          <w:rFonts w:ascii="Calibri" w:eastAsia="Times New Roman" w:hAnsi="Calibri" w:cs="Arial"/>
          <w:sz w:val="24"/>
          <w:szCs w:val="24"/>
        </w:rPr>
        <w:t>The median age of council staff is 51.</w:t>
      </w:r>
    </w:p>
    <w:p w14:paraId="1D95D9E0" w14:textId="77777777" w:rsidR="00C147B4" w:rsidRPr="00C147B4" w:rsidRDefault="00C147B4" w:rsidP="00C147B4">
      <w:pPr>
        <w:rPr>
          <w:rFonts w:ascii="Calibri" w:eastAsia="Times New Roman" w:hAnsi="Calibri" w:cs="Arial"/>
          <w:sz w:val="24"/>
          <w:szCs w:val="24"/>
        </w:rPr>
      </w:pPr>
    </w:p>
    <w:p w14:paraId="18D4179B" w14:textId="77777777" w:rsidR="00C147B4" w:rsidRPr="00C147B4" w:rsidRDefault="00C147B4" w:rsidP="00C147B4">
      <w:pPr>
        <w:rPr>
          <w:rFonts w:ascii="Calibri" w:eastAsia="Times New Roman" w:hAnsi="Calibri" w:cs="Arial"/>
          <w:sz w:val="24"/>
          <w:szCs w:val="24"/>
        </w:rPr>
      </w:pPr>
    </w:p>
    <w:p w14:paraId="1B9A55C0" w14:textId="77777777" w:rsidR="00C147B4" w:rsidRPr="00C147B4" w:rsidRDefault="00C147B4" w:rsidP="00C147B4">
      <w:pPr>
        <w:rPr>
          <w:rFonts w:ascii="Calibri" w:eastAsia="Times New Roman" w:hAnsi="Calibri" w:cs="Arial"/>
          <w:sz w:val="24"/>
          <w:szCs w:val="24"/>
        </w:rPr>
      </w:pPr>
    </w:p>
    <w:p w14:paraId="0AD86252" w14:textId="77777777" w:rsidR="00C147B4" w:rsidRPr="00C147B4" w:rsidRDefault="00C147B4" w:rsidP="00C147B4">
      <w:pPr>
        <w:rPr>
          <w:rFonts w:ascii="Calibri" w:eastAsia="Times New Roman" w:hAnsi="Calibri" w:cs="Arial"/>
          <w:sz w:val="24"/>
          <w:szCs w:val="24"/>
        </w:rPr>
      </w:pPr>
    </w:p>
    <w:p w14:paraId="2A40A6C7" w14:textId="77777777" w:rsidR="00C147B4" w:rsidRPr="00C147B4" w:rsidRDefault="00C147B4" w:rsidP="00C147B4">
      <w:pPr>
        <w:rPr>
          <w:rFonts w:ascii="Calibri" w:eastAsia="Times New Roman" w:hAnsi="Calibri" w:cs="Times New Roman"/>
        </w:rPr>
      </w:pPr>
    </w:p>
    <w:p w14:paraId="0D4AE29C" w14:textId="77777777" w:rsidR="00C147B4" w:rsidRPr="00C147B4" w:rsidRDefault="00C147B4" w:rsidP="00C147B4">
      <w:pPr>
        <w:outlineLvl w:val="1"/>
        <w:rPr>
          <w:rFonts w:ascii="Calibri" w:eastAsia="Times New Roman" w:hAnsi="Calibri" w:cs="Arial"/>
          <w:b/>
          <w:sz w:val="28"/>
          <w:szCs w:val="28"/>
        </w:rPr>
      </w:pPr>
      <w:r w:rsidRPr="00C147B4">
        <w:rPr>
          <w:rFonts w:ascii="Calibri" w:eastAsia="Times New Roman" w:hAnsi="Calibri" w:cs="Arial"/>
          <w:b/>
          <w:sz w:val="24"/>
          <w:szCs w:val="24"/>
        </w:rPr>
        <w:lastRenderedPageBreak/>
        <w:t xml:space="preserve">   </w:t>
      </w:r>
      <w:r w:rsidRPr="00C147B4">
        <w:rPr>
          <w:rFonts w:ascii="Calibri" w:eastAsia="Times New Roman" w:hAnsi="Calibri" w:cs="Times New Roman"/>
          <w:b/>
          <w:color w:val="365F91"/>
          <w:sz w:val="28"/>
          <w:szCs w:val="28"/>
        </w:rPr>
        <w:t>Pay Gap</w:t>
      </w:r>
      <w:r w:rsidRPr="00C147B4">
        <w:rPr>
          <w:rFonts w:ascii="Calibri" w:eastAsia="Times New Roman" w:hAnsi="Calibri" w:cs="Arial"/>
          <w:b/>
          <w:sz w:val="28"/>
          <w:szCs w:val="28"/>
        </w:rPr>
        <w:t xml:space="preserve">     </w:t>
      </w:r>
    </w:p>
    <w:p w14:paraId="0CE424A3" w14:textId="77777777" w:rsidR="00C147B4" w:rsidRPr="00C147B4" w:rsidRDefault="00C147B4" w:rsidP="00C147B4">
      <w:pPr>
        <w:spacing w:before="240"/>
        <w:rPr>
          <w:rFonts w:ascii="Calibri" w:eastAsia="Times New Roman" w:hAnsi="Calibri" w:cs="Arial"/>
          <w:sz w:val="24"/>
          <w:szCs w:val="24"/>
        </w:rPr>
      </w:pPr>
      <w:r w:rsidRPr="00C147B4">
        <w:rPr>
          <w:rFonts w:ascii="Calibri" w:eastAsia="Times New Roman" w:hAnsi="Calibri" w:cs="Times New Roman"/>
          <w:noProof/>
        </w:rPr>
        <mc:AlternateContent>
          <mc:Choice Requires="wps">
            <w:drawing>
              <wp:anchor distT="0" distB="0" distL="114300" distR="114300" simplePos="0" relativeHeight="251659264" behindDoc="0" locked="0" layoutInCell="1" allowOverlap="1" wp14:anchorId="47890E8D" wp14:editId="70000898">
                <wp:simplePos x="0" y="0"/>
                <wp:positionH relativeFrom="column">
                  <wp:posOffset>1657350</wp:posOffset>
                </wp:positionH>
                <wp:positionV relativeFrom="paragraph">
                  <wp:posOffset>20955</wp:posOffset>
                </wp:positionV>
                <wp:extent cx="4581525" cy="10763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076325"/>
                        </a:xfrm>
                        <a:prstGeom prst="rect">
                          <a:avLst/>
                        </a:prstGeom>
                        <a:solidFill>
                          <a:srgbClr val="FFFFFF"/>
                        </a:solidFill>
                        <a:ln w="9525">
                          <a:solidFill>
                            <a:srgbClr val="000000"/>
                          </a:solidFill>
                          <a:miter lim="800000"/>
                          <a:headEnd/>
                          <a:tailEnd/>
                        </a:ln>
                      </wps:spPr>
                      <wps:txbx>
                        <w:txbxContent>
                          <w:p w14:paraId="3928EA1E" w14:textId="77777777" w:rsidR="0001428F" w:rsidRPr="00044398" w:rsidRDefault="0001428F" w:rsidP="00C147B4">
                            <w:pPr>
                              <w:rPr>
                                <w:sz w:val="24"/>
                                <w:szCs w:val="24"/>
                              </w:rPr>
                            </w:pPr>
                            <w:r w:rsidRPr="00C147B4">
                              <w:rPr>
                                <w:b/>
                                <w:color w:val="365F91"/>
                                <w:sz w:val="24"/>
                                <w:szCs w:val="24"/>
                              </w:rPr>
                              <w:t>Definition of Gender Pay Gap:</w:t>
                            </w:r>
                            <w:r w:rsidRPr="00C147B4">
                              <w:rPr>
                                <w:color w:val="365F91"/>
                                <w:sz w:val="24"/>
                                <w:szCs w:val="24"/>
                              </w:rPr>
                              <w:t xml:space="preserve"> </w:t>
                            </w:r>
                            <w:r w:rsidRPr="00044398">
                              <w:rPr>
                                <w:sz w:val="24"/>
                                <w:szCs w:val="24"/>
                              </w:rPr>
                              <w:t xml:space="preserve">Men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71AA5AA9" w14:textId="77777777" w:rsidR="0001428F" w:rsidRDefault="0001428F" w:rsidP="00C147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90E8D" id="_x0000_t202" coordsize="21600,21600" o:spt="202" path="m,l,21600r21600,l21600,xe">
                <v:stroke joinstyle="miter"/>
                <v:path gradientshapeok="t" o:connecttype="rect"/>
              </v:shapetype>
              <v:shape id="Text Box 2" o:spid="_x0000_s1026" type="#_x0000_t202" style="position:absolute;margin-left:130.5pt;margin-top:1.65pt;width:360.75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">
                <v:textbox>
                  <w:txbxContent>
                    <w:p w14:paraId="3928EA1E" w14:textId="77777777" w:rsidR="0001428F" w:rsidRPr="00044398" w:rsidRDefault="0001428F" w:rsidP="00C147B4">
                      <w:pPr>
                        <w:rPr>
                          <w:sz w:val="24"/>
                          <w:szCs w:val="24"/>
                        </w:rPr>
                      </w:pPr>
                      <w:r w:rsidRPr="00C147B4">
                        <w:rPr>
                          <w:b/>
                          <w:color w:val="365F91"/>
                          <w:sz w:val="24"/>
                          <w:szCs w:val="24"/>
                        </w:rPr>
                        <w:t>Definition of Gender Pay Gap:</w:t>
                      </w:r>
                      <w:r w:rsidRPr="00C147B4">
                        <w:rPr>
                          <w:color w:val="365F91"/>
                          <w:sz w:val="24"/>
                          <w:szCs w:val="24"/>
                        </w:rPr>
                        <w:t xml:space="preserve"> </w:t>
                      </w:r>
                      <w:r w:rsidRPr="00044398">
                        <w:rPr>
                          <w:sz w:val="24"/>
                          <w:szCs w:val="24"/>
                        </w:rPr>
                        <w:t xml:space="preserve">Men working full-time continue to have higher median hourly and weekly earnings than women. </w:t>
                      </w:r>
                      <w:r>
                        <w:rPr>
                          <w:sz w:val="24"/>
                          <w:szCs w:val="24"/>
                        </w:rPr>
                        <w:t>T</w:t>
                      </w:r>
                      <w:r w:rsidRPr="00044398">
                        <w:rPr>
                          <w:sz w:val="24"/>
                          <w:szCs w:val="24"/>
                        </w:rPr>
                        <w:t>he m</w:t>
                      </w:r>
                      <w:r>
                        <w:rPr>
                          <w:sz w:val="24"/>
                          <w:szCs w:val="24"/>
                        </w:rPr>
                        <w:t xml:space="preserve">edian full-time gender pay gap is </w:t>
                      </w:r>
                      <w:r w:rsidRPr="00044398">
                        <w:rPr>
                          <w:sz w:val="24"/>
                          <w:szCs w:val="24"/>
                        </w:rPr>
                        <w:t xml:space="preserve">the difference in percentage terms between the median earnings of </w:t>
                      </w:r>
                      <w:r>
                        <w:rPr>
                          <w:sz w:val="24"/>
                          <w:szCs w:val="24"/>
                        </w:rPr>
                        <w:t>women and men working full-time.</w:t>
                      </w:r>
                    </w:p>
                    <w:p w14:paraId="71AA5AA9" w14:textId="77777777" w:rsidR="0001428F" w:rsidRDefault="0001428F" w:rsidP="00C147B4"/>
                  </w:txbxContent>
                </v:textbox>
              </v:shape>
            </w:pict>
          </mc:Fallback>
        </mc:AlternateContent>
      </w:r>
      <w:r w:rsidRPr="00C147B4">
        <w:rPr>
          <w:rFonts w:ascii="Calibri" w:eastAsia="Times New Roman" w:hAnsi="Calibri" w:cs="Times New Roman"/>
          <w:noProof/>
        </w:rPr>
        <w:drawing>
          <wp:inline distT="0" distB="0" distL="0" distR="0" wp14:anchorId="4C569319" wp14:editId="305604DE">
            <wp:extent cx="1238250" cy="1366187"/>
            <wp:effectExtent l="0" t="0" r="0" b="571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47366" cy="1376245"/>
                    </a:xfrm>
                    <a:prstGeom prst="rect">
                      <a:avLst/>
                    </a:prstGeom>
                    <a:noFill/>
                    <a:ln w="9525">
                      <a:noFill/>
                      <a:miter lim="800000"/>
                      <a:headEnd/>
                      <a:tailEnd/>
                    </a:ln>
                  </pic:spPr>
                </pic:pic>
              </a:graphicData>
            </a:graphic>
          </wp:inline>
        </w:drawing>
      </w:r>
    </w:p>
    <w:p w14:paraId="275E29E7" w14:textId="77777777"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The average median hourly rate across the council is £13.48.  The council doesn’t pay bonuses, so there is no bonus gap for any of the protected characteristic groups.</w:t>
      </w:r>
      <w:r w:rsidRPr="00C147B4">
        <w:rPr>
          <w:rFonts w:ascii="Calibri" w:eastAsia="Times New Roman" w:hAnsi="Calibri" w:cs="Times New Roman"/>
        </w:rPr>
        <w:t xml:space="preserve"> </w:t>
      </w:r>
    </w:p>
    <w:p w14:paraId="627A4E98" w14:textId="77777777" w:rsidR="00C147B4" w:rsidRPr="00C147B4" w:rsidRDefault="00C147B4" w:rsidP="00C147B4">
      <w:pPr>
        <w:outlineLvl w:val="1"/>
        <w:rPr>
          <w:rFonts w:ascii="Calibri" w:eastAsia="Times New Roman" w:hAnsi="Calibri" w:cs="Arial"/>
          <w:b/>
          <w:sz w:val="24"/>
          <w:szCs w:val="24"/>
        </w:rPr>
      </w:pPr>
      <w:r w:rsidRPr="00C147B4">
        <w:rPr>
          <w:rFonts w:ascii="Calibri" w:eastAsia="Times New Roman" w:hAnsi="Calibri" w:cs="Arial"/>
          <w:b/>
          <w:sz w:val="24"/>
          <w:szCs w:val="24"/>
        </w:rPr>
        <w:t>Sex (Gender)</w:t>
      </w:r>
    </w:p>
    <w:p w14:paraId="09260898" w14:textId="77777777" w:rsidR="00C147B4" w:rsidRPr="00C147B4" w:rsidRDefault="00C147B4" w:rsidP="00C147B4">
      <w:pPr>
        <w:spacing w:before="240"/>
        <w:rPr>
          <w:rFonts w:ascii="Calibri" w:eastAsia="Times New Roman" w:hAnsi="Calibri" w:cs="Arial"/>
          <w:color w:val="FF0000"/>
          <w:sz w:val="24"/>
        </w:rPr>
      </w:pPr>
      <w:r w:rsidRPr="00C147B4">
        <w:rPr>
          <w:rFonts w:ascii="Calibri" w:eastAsia="Times New Roman" w:hAnsi="Calibri" w:cs="Arial"/>
          <w:sz w:val="24"/>
          <w:szCs w:val="24"/>
        </w:rPr>
        <w:t xml:space="preserve">The median hourly rate across the council for women is £12.70 and for men it is £14.02 meaning there is a pay gap of 9.43%. </w:t>
      </w:r>
      <w:r w:rsidRPr="00C147B4">
        <w:rPr>
          <w:rFonts w:ascii="Calibri" w:eastAsia="Times New Roman" w:hAnsi="Calibri" w:cs="Arial"/>
          <w:color w:val="FF0000"/>
          <w:sz w:val="24"/>
          <w:szCs w:val="24"/>
        </w:rPr>
        <w:t xml:space="preserve"> </w:t>
      </w:r>
      <w:r w:rsidRPr="00C147B4">
        <w:rPr>
          <w:rFonts w:ascii="Calibri" w:eastAsia="Times New Roman" w:hAnsi="Calibri" w:cs="Arial"/>
          <w:sz w:val="24"/>
          <w:szCs w:val="24"/>
        </w:rPr>
        <w:t xml:space="preserve">This is an increase of 0.21% (from 9.22%) on the pay gap reported in the Council’s 2019 report. </w:t>
      </w:r>
      <w:r w:rsidRPr="00C147B4">
        <w:rPr>
          <w:rFonts w:ascii="Calibri" w:eastAsia="Times New Roman" w:hAnsi="Calibri" w:cs="Arial"/>
          <w:color w:val="00B050"/>
          <w:sz w:val="24"/>
          <w:szCs w:val="24"/>
        </w:rPr>
        <w:t xml:space="preserve"> </w:t>
      </w:r>
      <w:r w:rsidRPr="00C147B4">
        <w:rPr>
          <w:rFonts w:ascii="Calibri" w:eastAsia="Times New Roman" w:hAnsi="Calibri" w:cs="Arial"/>
          <w:sz w:val="24"/>
          <w:szCs w:val="24"/>
        </w:rPr>
        <w:t>This is also significantly lower (i.e. better) than the national median gender pay gap of 15.5%</w:t>
      </w:r>
      <w:r w:rsidRPr="00C147B4">
        <w:rPr>
          <w:rFonts w:ascii="Calibri" w:eastAsia="Times New Roman" w:hAnsi="Calibri" w:cs="Arial"/>
          <w:sz w:val="24"/>
          <w:szCs w:val="24"/>
          <w:vertAlign w:val="superscript"/>
        </w:rPr>
        <w:footnoteReference w:id="3"/>
      </w:r>
      <w:r w:rsidRPr="00C147B4">
        <w:rPr>
          <w:rFonts w:ascii="Calibri" w:eastAsia="Times New Roman" w:hAnsi="Calibri" w:cs="Arial"/>
          <w:sz w:val="24"/>
          <w:szCs w:val="24"/>
        </w:rPr>
        <w:t xml:space="preserve"> and the Local Government pay gap of 12.2%.</w:t>
      </w:r>
    </w:p>
    <w:p w14:paraId="13246DDD" w14:textId="77777777" w:rsidR="00C147B4" w:rsidRPr="00C147B4" w:rsidRDefault="00C147B4" w:rsidP="00C147B4">
      <w:pPr>
        <w:spacing w:before="240" w:after="0" w:line="240" w:lineRule="auto"/>
        <w:rPr>
          <w:rFonts w:ascii="Calibri" w:eastAsia="Calibri" w:hAnsi="Calibri" w:cs="Times New Roman"/>
          <w:color w:val="00B050"/>
          <w:sz w:val="24"/>
          <w:szCs w:val="24"/>
          <w:lang w:eastAsia="en-US"/>
        </w:rPr>
      </w:pPr>
      <w:r w:rsidRPr="00C147B4">
        <w:rPr>
          <w:rFonts w:ascii="Calibri" w:eastAsia="Calibri" w:hAnsi="Calibri" w:cs="Times New Roman"/>
          <w:sz w:val="24"/>
          <w:szCs w:val="24"/>
          <w:lang w:eastAsia="en-US"/>
        </w:rPr>
        <w:t>Out of the 1,492 staff who work full-time for Knowsley Council,</w:t>
      </w:r>
      <w:r w:rsidRPr="00C147B4">
        <w:rPr>
          <w:rFonts w:ascii="Calibri" w:eastAsia="Calibri" w:hAnsi="Calibri" w:cs="Times New Roman"/>
          <w:color w:val="00B050"/>
          <w:sz w:val="24"/>
          <w:szCs w:val="24"/>
          <w:lang w:eastAsia="en-US"/>
        </w:rPr>
        <w:t xml:space="preserve"> </w:t>
      </w:r>
      <w:r w:rsidRPr="00C147B4">
        <w:rPr>
          <w:rFonts w:ascii="Calibri" w:eastAsia="Calibri" w:hAnsi="Calibri" w:cs="Times New Roman"/>
          <w:sz w:val="24"/>
          <w:szCs w:val="24"/>
          <w:lang w:eastAsia="en-US"/>
        </w:rPr>
        <w:t>880 are female and 612 male.  The average median hourly rate for all full-time staff is £15.79.  The average median hourly rate for male full-time staff is £14.47 and for female staff it is £16.65, meaning that there is a full-time median gender pay gap of -15.1%, which is interpreted as no pay gap at all.</w:t>
      </w:r>
    </w:p>
    <w:p w14:paraId="77976510" w14:textId="77777777" w:rsidR="00C147B4" w:rsidRPr="00C147B4" w:rsidRDefault="00C147B4" w:rsidP="00C147B4">
      <w:pPr>
        <w:spacing w:after="0" w:line="240" w:lineRule="auto"/>
        <w:rPr>
          <w:rFonts w:ascii="Calibri" w:eastAsia="Times New Roman" w:hAnsi="Calibri" w:cs="Arial"/>
          <w:color w:val="FF0000"/>
          <w:sz w:val="24"/>
          <w:szCs w:val="24"/>
        </w:rPr>
      </w:pPr>
    </w:p>
    <w:p w14:paraId="060D1658" w14:textId="77777777" w:rsidR="00C147B4" w:rsidRPr="00C147B4" w:rsidRDefault="00C147B4" w:rsidP="00C147B4">
      <w:pPr>
        <w:spacing w:after="0" w:line="240" w:lineRule="auto"/>
        <w:rPr>
          <w:rFonts w:ascii="Calibri" w:eastAsia="Times New Roman" w:hAnsi="Calibri" w:cs="Arial"/>
          <w:sz w:val="24"/>
          <w:szCs w:val="24"/>
        </w:rPr>
      </w:pPr>
      <w:r w:rsidRPr="00C147B4">
        <w:rPr>
          <w:rFonts w:ascii="Calibri" w:eastAsia="Calibri" w:hAnsi="Calibri" w:cs="Times New Roman"/>
          <w:sz w:val="24"/>
          <w:szCs w:val="24"/>
          <w:lang w:eastAsia="en-US"/>
        </w:rPr>
        <w:t xml:space="preserve">Out of the 1,019 staff who work part time for Knowsley Council, the vast majority are female (947) with only 72 men working less than full-time hours. </w:t>
      </w:r>
      <w:r w:rsidRPr="00C147B4">
        <w:rPr>
          <w:rFonts w:ascii="Calibri" w:eastAsia="Calibri" w:hAnsi="Calibri" w:cs="Times New Roman"/>
          <w:color w:val="00B050"/>
          <w:sz w:val="24"/>
          <w:szCs w:val="24"/>
          <w:lang w:eastAsia="en-US"/>
        </w:rPr>
        <w:t xml:space="preserve"> </w:t>
      </w:r>
      <w:r w:rsidRPr="00C147B4">
        <w:rPr>
          <w:rFonts w:ascii="Calibri" w:eastAsia="Calibri" w:hAnsi="Calibri" w:cs="Times New Roman"/>
          <w:sz w:val="24"/>
          <w:szCs w:val="24"/>
          <w:lang w:eastAsia="en-US"/>
        </w:rPr>
        <w:t xml:space="preserve">The average median hourly rate for all part-time staff is £10.12. The median average hourly rate for male part-time staff is £10.21 and female staff is £10.11 meaning that there is a part-time gender pay gap of 0.98.%. </w:t>
      </w:r>
      <w:r w:rsidRPr="00C147B4">
        <w:rPr>
          <w:rFonts w:ascii="Calibri" w:eastAsia="Calibri" w:hAnsi="Calibri" w:cs="Arial"/>
          <w:sz w:val="24"/>
          <w:szCs w:val="24"/>
          <w:lang w:eastAsia="en-US"/>
        </w:rPr>
        <w:t xml:space="preserve">The council’s complete </w:t>
      </w:r>
      <w:hyperlink r:id="rId13" w:history="1">
        <w:r w:rsidRPr="00C147B4">
          <w:rPr>
            <w:rFonts w:ascii="Calibri" w:eastAsia="Calibri" w:hAnsi="Calibri" w:cs="Arial"/>
            <w:color w:val="0000FF"/>
            <w:sz w:val="24"/>
            <w:szCs w:val="24"/>
            <w:u w:val="single"/>
            <w:lang w:eastAsia="en-US"/>
          </w:rPr>
          <w:t xml:space="preserve">Gender Pay Gap Report </w:t>
        </w:r>
      </w:hyperlink>
      <w:r w:rsidRPr="00C147B4">
        <w:rPr>
          <w:rFonts w:ascii="Calibri" w:eastAsia="Calibri" w:hAnsi="Calibri" w:cs="Arial"/>
          <w:sz w:val="24"/>
          <w:szCs w:val="24"/>
          <w:lang w:eastAsia="en-US"/>
        </w:rPr>
        <w:t xml:space="preserve"> is also available. </w:t>
      </w:r>
    </w:p>
    <w:p w14:paraId="3F1EE770" w14:textId="77777777" w:rsidR="00C147B4" w:rsidRPr="00C147B4" w:rsidRDefault="00C147B4" w:rsidP="00C147B4">
      <w:pPr>
        <w:spacing w:before="240"/>
        <w:rPr>
          <w:rFonts w:ascii="Calibri" w:eastAsia="Times New Roman" w:hAnsi="Calibri" w:cs="Arial"/>
          <w:b/>
          <w:sz w:val="24"/>
          <w:szCs w:val="24"/>
        </w:rPr>
      </w:pPr>
      <w:r w:rsidRPr="00C147B4">
        <w:rPr>
          <w:rFonts w:ascii="Calibri" w:eastAsia="Times New Roman" w:hAnsi="Calibri" w:cs="Arial"/>
          <w:b/>
          <w:sz w:val="24"/>
          <w:szCs w:val="24"/>
        </w:rPr>
        <w:lastRenderedPageBreak/>
        <w:t>Disability</w:t>
      </w:r>
    </w:p>
    <w:p w14:paraId="1FA199BE" w14:textId="77777777"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 xml:space="preserve">For disability the mean average hourly pay for staff with a disability is £15.67, the mean average hourly pay for staff without a disability is £15.31 making a pay gap of -12.35%. The median hourly rate for staff with a disability is £14.02; the median average pay for staff who haven’t declared a disability is £14.02.  This equates to a median pay gap of 0%. </w:t>
      </w:r>
    </w:p>
    <w:p w14:paraId="1593D0A3" w14:textId="77777777" w:rsidR="00C147B4" w:rsidRPr="00C147B4" w:rsidRDefault="00C147B4" w:rsidP="00C147B4">
      <w:pPr>
        <w:spacing w:before="240"/>
        <w:rPr>
          <w:rFonts w:ascii="Calibri" w:eastAsia="Times New Roman" w:hAnsi="Calibri" w:cs="Arial"/>
          <w:b/>
          <w:sz w:val="24"/>
          <w:szCs w:val="24"/>
        </w:rPr>
      </w:pPr>
      <w:r w:rsidRPr="00C147B4">
        <w:rPr>
          <w:rFonts w:ascii="Calibri" w:eastAsia="Times New Roman" w:hAnsi="Calibri" w:cs="Arial"/>
          <w:b/>
          <w:sz w:val="24"/>
          <w:szCs w:val="24"/>
        </w:rPr>
        <w:t xml:space="preserve">Ethnicity </w:t>
      </w:r>
    </w:p>
    <w:p w14:paraId="62B7C30C" w14:textId="77777777" w:rsidR="00C147B4" w:rsidRPr="00C147B4" w:rsidRDefault="00C147B4" w:rsidP="00C147B4">
      <w:pPr>
        <w:spacing w:before="240"/>
        <w:rPr>
          <w:rFonts w:ascii="Calibri" w:eastAsia="Times New Roman" w:hAnsi="Calibri" w:cs="Arial"/>
          <w:color w:val="E36C0A"/>
          <w:sz w:val="24"/>
          <w:szCs w:val="24"/>
        </w:rPr>
      </w:pPr>
      <w:r w:rsidRPr="00C147B4">
        <w:rPr>
          <w:rFonts w:ascii="Calibri" w:eastAsia="Times New Roman" w:hAnsi="Calibri" w:cs="Arial"/>
          <w:sz w:val="24"/>
          <w:szCs w:val="24"/>
        </w:rPr>
        <w:t>The average mean hourly pay for BME staff £17.03, for non-BME staff it is £15.65 making a pay gap of -8.8%. The median hourly rate for BME staff is £16.40, for non BME staff £14.02. These equates to a pay gap of -17.0%, this is interpreted as no pay gap at all.</w:t>
      </w:r>
    </w:p>
    <w:p w14:paraId="3EC2884A" w14:textId="77777777" w:rsidR="00C147B4" w:rsidRPr="00C147B4" w:rsidRDefault="00C147B4" w:rsidP="00C147B4">
      <w:pPr>
        <w:spacing w:before="240"/>
        <w:rPr>
          <w:rFonts w:ascii="Calibri" w:eastAsia="Times New Roman" w:hAnsi="Calibri" w:cs="Arial"/>
          <w:color w:val="E36C0A"/>
          <w:sz w:val="24"/>
          <w:szCs w:val="24"/>
        </w:rPr>
      </w:pPr>
    </w:p>
    <w:p w14:paraId="47F34C0F" w14:textId="77777777" w:rsidR="00C147B4" w:rsidRPr="00C147B4" w:rsidRDefault="00C147B4" w:rsidP="00C147B4">
      <w:pPr>
        <w:spacing w:before="240"/>
        <w:rPr>
          <w:rFonts w:ascii="Calibri" w:eastAsia="Times New Roman" w:hAnsi="Calibri" w:cs="Arial"/>
          <w:sz w:val="24"/>
          <w:szCs w:val="24"/>
        </w:rPr>
      </w:pPr>
    </w:p>
    <w:p w14:paraId="5BB9B8BC" w14:textId="77777777" w:rsidR="00C147B4" w:rsidRPr="00C147B4" w:rsidRDefault="00C147B4" w:rsidP="00C147B4">
      <w:pPr>
        <w:spacing w:before="240"/>
        <w:rPr>
          <w:rFonts w:ascii="Calibri" w:eastAsia="Times New Roman" w:hAnsi="Calibri" w:cs="Arial"/>
          <w:sz w:val="24"/>
          <w:szCs w:val="24"/>
        </w:rPr>
      </w:pPr>
    </w:p>
    <w:p w14:paraId="7EF0E39A" w14:textId="77777777" w:rsidR="00C147B4" w:rsidRPr="00C147B4" w:rsidRDefault="00C147B4" w:rsidP="00C147B4">
      <w:pPr>
        <w:spacing w:before="240"/>
        <w:rPr>
          <w:rFonts w:ascii="Calibri" w:eastAsia="Times New Roman" w:hAnsi="Calibri" w:cs="Arial"/>
          <w:sz w:val="24"/>
          <w:szCs w:val="24"/>
        </w:rPr>
      </w:pPr>
    </w:p>
    <w:p w14:paraId="7A588CF1" w14:textId="77777777" w:rsidR="00C147B4" w:rsidRPr="00C147B4" w:rsidRDefault="00C147B4" w:rsidP="00C147B4">
      <w:pPr>
        <w:spacing w:before="240"/>
        <w:rPr>
          <w:rFonts w:ascii="Calibri" w:eastAsia="Times New Roman" w:hAnsi="Calibri" w:cs="Arial"/>
          <w:sz w:val="24"/>
          <w:szCs w:val="24"/>
        </w:rPr>
      </w:pPr>
    </w:p>
    <w:p w14:paraId="3223FF73" w14:textId="77777777" w:rsidR="00C147B4" w:rsidRPr="00C147B4" w:rsidRDefault="00C147B4" w:rsidP="00C147B4">
      <w:pPr>
        <w:spacing w:before="240"/>
        <w:rPr>
          <w:rFonts w:ascii="Calibri" w:eastAsia="Times New Roman" w:hAnsi="Calibri" w:cs="Arial"/>
          <w:sz w:val="24"/>
          <w:szCs w:val="24"/>
        </w:rPr>
      </w:pPr>
    </w:p>
    <w:p w14:paraId="2A0BA908" w14:textId="77777777" w:rsidR="00C147B4" w:rsidRPr="00C147B4" w:rsidRDefault="00C147B4" w:rsidP="00C147B4">
      <w:pPr>
        <w:spacing w:before="240"/>
        <w:rPr>
          <w:rFonts w:ascii="Calibri" w:eastAsia="Times New Roman" w:hAnsi="Calibri" w:cs="Arial"/>
          <w:sz w:val="24"/>
          <w:szCs w:val="24"/>
        </w:rPr>
      </w:pPr>
    </w:p>
    <w:p w14:paraId="1C6071F9" w14:textId="77777777" w:rsidR="00C147B4" w:rsidRPr="00C147B4" w:rsidRDefault="00C147B4" w:rsidP="00C147B4">
      <w:pPr>
        <w:spacing w:before="240"/>
        <w:rPr>
          <w:rFonts w:ascii="Calibri" w:eastAsia="Times New Roman" w:hAnsi="Calibri" w:cs="Arial"/>
          <w:sz w:val="24"/>
          <w:szCs w:val="24"/>
        </w:rPr>
      </w:pPr>
    </w:p>
    <w:p w14:paraId="3B011DAC" w14:textId="77777777" w:rsidR="00C147B4" w:rsidRPr="00C147B4" w:rsidRDefault="00C147B4" w:rsidP="00C147B4">
      <w:pPr>
        <w:spacing w:before="240"/>
        <w:rPr>
          <w:rFonts w:ascii="Calibri" w:eastAsia="Times New Roman" w:hAnsi="Calibri" w:cs="Arial"/>
          <w:sz w:val="24"/>
          <w:szCs w:val="24"/>
        </w:rPr>
      </w:pPr>
    </w:p>
    <w:p w14:paraId="34DC1C83" w14:textId="77777777" w:rsidR="00C147B4" w:rsidRPr="00C147B4" w:rsidRDefault="00C147B4" w:rsidP="00C147B4">
      <w:pPr>
        <w:spacing w:before="240"/>
        <w:rPr>
          <w:rFonts w:ascii="Calibri" w:eastAsia="Times New Roman" w:hAnsi="Calibri" w:cs="Arial"/>
          <w:sz w:val="24"/>
          <w:szCs w:val="24"/>
        </w:rPr>
      </w:pPr>
    </w:p>
    <w:p w14:paraId="7B3E9CF0" w14:textId="77777777" w:rsidR="00C147B4" w:rsidRPr="00C147B4" w:rsidRDefault="00C147B4" w:rsidP="00C147B4">
      <w:pPr>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Age        </w:t>
      </w:r>
    </w:p>
    <w:p w14:paraId="2C178ABD" w14:textId="77777777"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31% of the council’s workforce is in the age bracket 55-64.  This is a change from previous reports where the 45-55 bracket represented the highest proportion of staff, however the median age of council staff is 51.</w:t>
      </w:r>
    </w:p>
    <w:p w14:paraId="1E324FB3" w14:textId="77777777" w:rsidR="00C147B4" w:rsidRPr="00C147B4" w:rsidRDefault="00C147B4" w:rsidP="00C147B4">
      <w:pPr>
        <w:rPr>
          <w:rFonts w:ascii="Arial" w:eastAsia="Times New Roman" w:hAnsi="Arial" w:cs="Arial"/>
          <w:sz w:val="24"/>
          <w:szCs w:val="24"/>
        </w:rPr>
      </w:pPr>
    </w:p>
    <w:p w14:paraId="0B28541B" w14:textId="77777777" w:rsidR="00C147B4" w:rsidRPr="00C147B4" w:rsidRDefault="00C147B4" w:rsidP="00C147B4">
      <w:pPr>
        <w:rPr>
          <w:rFonts w:ascii="Arial" w:eastAsia="Times New Roman" w:hAnsi="Arial" w:cs="Arial"/>
          <w:sz w:val="24"/>
          <w:szCs w:val="24"/>
        </w:rPr>
      </w:pPr>
    </w:p>
    <w:tbl>
      <w:tblPr>
        <w:tblpPr w:leftFromText="180" w:rightFromText="180" w:vertAnchor="page" w:horzAnchor="margin" w:tblpXSpec="right" w:tblpY="5681"/>
        <w:tblW w:w="4760" w:type="dxa"/>
        <w:tblLook w:val="04A0" w:firstRow="1" w:lastRow="0" w:firstColumn="1" w:lastColumn="0" w:noHBand="0" w:noVBand="1"/>
      </w:tblPr>
      <w:tblGrid>
        <w:gridCol w:w="2580"/>
        <w:gridCol w:w="1020"/>
        <w:gridCol w:w="1160"/>
      </w:tblGrid>
      <w:tr w:rsidR="00C147B4" w:rsidRPr="00C147B4" w14:paraId="24F8D002" w14:textId="77777777" w:rsidTr="002A1A32">
        <w:trPr>
          <w:trHeight w:val="260"/>
        </w:trPr>
        <w:tc>
          <w:tcPr>
            <w:tcW w:w="258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52F4DA0"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Age</w:t>
            </w:r>
          </w:p>
        </w:tc>
        <w:tc>
          <w:tcPr>
            <w:tcW w:w="1020" w:type="dxa"/>
            <w:tcBorders>
              <w:top w:val="single" w:sz="4" w:space="0" w:color="auto"/>
              <w:left w:val="nil"/>
              <w:bottom w:val="single" w:sz="4" w:space="0" w:color="auto"/>
              <w:right w:val="single" w:sz="4" w:space="0" w:color="auto"/>
            </w:tcBorders>
            <w:shd w:val="clear" w:color="000000" w:fill="D0CECE"/>
            <w:noWrap/>
            <w:vAlign w:val="bottom"/>
            <w:hideMark/>
          </w:tcPr>
          <w:p w14:paraId="22C1C759"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No.</w:t>
            </w:r>
          </w:p>
        </w:tc>
        <w:tc>
          <w:tcPr>
            <w:tcW w:w="1160" w:type="dxa"/>
            <w:tcBorders>
              <w:top w:val="single" w:sz="4" w:space="0" w:color="auto"/>
              <w:left w:val="nil"/>
              <w:bottom w:val="single" w:sz="4" w:space="0" w:color="auto"/>
              <w:right w:val="single" w:sz="4" w:space="0" w:color="auto"/>
            </w:tcBorders>
            <w:shd w:val="clear" w:color="000000" w:fill="D0CECE"/>
            <w:noWrap/>
            <w:vAlign w:val="bottom"/>
            <w:hideMark/>
          </w:tcPr>
          <w:p w14:paraId="7F095B19"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w:t>
            </w:r>
          </w:p>
        </w:tc>
      </w:tr>
      <w:tr w:rsidR="00C147B4" w:rsidRPr="00C147B4" w14:paraId="4F25D0EE" w14:textId="77777777" w:rsidTr="002A1A32">
        <w:trPr>
          <w:trHeight w:val="26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850B55D"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16-24</w:t>
            </w:r>
          </w:p>
        </w:tc>
        <w:tc>
          <w:tcPr>
            <w:tcW w:w="1020" w:type="dxa"/>
            <w:tcBorders>
              <w:top w:val="nil"/>
              <w:left w:val="nil"/>
              <w:bottom w:val="single" w:sz="4" w:space="0" w:color="auto"/>
              <w:right w:val="single" w:sz="4" w:space="0" w:color="auto"/>
            </w:tcBorders>
            <w:shd w:val="clear" w:color="auto" w:fill="auto"/>
            <w:noWrap/>
            <w:vAlign w:val="bottom"/>
            <w:hideMark/>
          </w:tcPr>
          <w:p w14:paraId="4B4AAC6B"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79</w:t>
            </w:r>
          </w:p>
        </w:tc>
        <w:tc>
          <w:tcPr>
            <w:tcW w:w="1160" w:type="dxa"/>
            <w:tcBorders>
              <w:top w:val="nil"/>
              <w:left w:val="nil"/>
              <w:bottom w:val="single" w:sz="4" w:space="0" w:color="auto"/>
              <w:right w:val="single" w:sz="4" w:space="0" w:color="auto"/>
            </w:tcBorders>
            <w:shd w:val="clear" w:color="000000" w:fill="FFFFFF"/>
            <w:noWrap/>
            <w:vAlign w:val="bottom"/>
            <w:hideMark/>
          </w:tcPr>
          <w:p w14:paraId="0AC553A0"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2.81</w:t>
            </w:r>
          </w:p>
        </w:tc>
      </w:tr>
      <w:tr w:rsidR="00C147B4" w:rsidRPr="00C147B4" w14:paraId="02379D6C" w14:textId="77777777" w:rsidTr="002A1A32">
        <w:trPr>
          <w:trHeight w:val="26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8CD0FF3"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25-34</w:t>
            </w:r>
          </w:p>
        </w:tc>
        <w:tc>
          <w:tcPr>
            <w:tcW w:w="1020" w:type="dxa"/>
            <w:tcBorders>
              <w:top w:val="nil"/>
              <w:left w:val="nil"/>
              <w:bottom w:val="single" w:sz="4" w:space="0" w:color="auto"/>
              <w:right w:val="single" w:sz="4" w:space="0" w:color="auto"/>
            </w:tcBorders>
            <w:shd w:val="clear" w:color="auto" w:fill="auto"/>
            <w:noWrap/>
            <w:vAlign w:val="bottom"/>
            <w:hideMark/>
          </w:tcPr>
          <w:p w14:paraId="6DE9E725"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319</w:t>
            </w:r>
          </w:p>
        </w:tc>
        <w:tc>
          <w:tcPr>
            <w:tcW w:w="1160" w:type="dxa"/>
            <w:tcBorders>
              <w:top w:val="nil"/>
              <w:left w:val="nil"/>
              <w:bottom w:val="single" w:sz="4" w:space="0" w:color="auto"/>
              <w:right w:val="single" w:sz="4" w:space="0" w:color="auto"/>
            </w:tcBorders>
            <w:shd w:val="clear" w:color="000000" w:fill="FFFFFF"/>
            <w:noWrap/>
            <w:vAlign w:val="bottom"/>
            <w:hideMark/>
          </w:tcPr>
          <w:p w14:paraId="415558AC"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11.36</w:t>
            </w:r>
          </w:p>
        </w:tc>
      </w:tr>
      <w:tr w:rsidR="00C147B4" w:rsidRPr="00C147B4" w14:paraId="100CBCDA" w14:textId="77777777" w:rsidTr="002A1A32">
        <w:trPr>
          <w:trHeight w:val="26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A9EF108"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35-44</w:t>
            </w:r>
          </w:p>
        </w:tc>
        <w:tc>
          <w:tcPr>
            <w:tcW w:w="1020" w:type="dxa"/>
            <w:tcBorders>
              <w:top w:val="nil"/>
              <w:left w:val="nil"/>
              <w:bottom w:val="single" w:sz="4" w:space="0" w:color="auto"/>
              <w:right w:val="single" w:sz="4" w:space="0" w:color="auto"/>
            </w:tcBorders>
            <w:shd w:val="clear" w:color="auto" w:fill="auto"/>
            <w:noWrap/>
            <w:vAlign w:val="bottom"/>
            <w:hideMark/>
          </w:tcPr>
          <w:p w14:paraId="2E918D9C"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587</w:t>
            </w:r>
          </w:p>
        </w:tc>
        <w:tc>
          <w:tcPr>
            <w:tcW w:w="1160" w:type="dxa"/>
            <w:tcBorders>
              <w:top w:val="nil"/>
              <w:left w:val="nil"/>
              <w:bottom w:val="single" w:sz="4" w:space="0" w:color="auto"/>
              <w:right w:val="single" w:sz="4" w:space="0" w:color="auto"/>
            </w:tcBorders>
            <w:shd w:val="clear" w:color="000000" w:fill="FFFFFF"/>
            <w:noWrap/>
            <w:vAlign w:val="bottom"/>
            <w:hideMark/>
          </w:tcPr>
          <w:p w14:paraId="20F27204"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20.91</w:t>
            </w:r>
          </w:p>
        </w:tc>
      </w:tr>
      <w:tr w:rsidR="00C147B4" w:rsidRPr="00C147B4" w14:paraId="08B1DF3B" w14:textId="77777777" w:rsidTr="002A1A32">
        <w:trPr>
          <w:trHeight w:val="26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3B5AFEA"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45-54</w:t>
            </w:r>
          </w:p>
        </w:tc>
        <w:tc>
          <w:tcPr>
            <w:tcW w:w="1020" w:type="dxa"/>
            <w:tcBorders>
              <w:top w:val="nil"/>
              <w:left w:val="nil"/>
              <w:bottom w:val="single" w:sz="4" w:space="0" w:color="auto"/>
              <w:right w:val="single" w:sz="4" w:space="0" w:color="auto"/>
            </w:tcBorders>
            <w:shd w:val="clear" w:color="auto" w:fill="auto"/>
            <w:noWrap/>
            <w:vAlign w:val="bottom"/>
            <w:hideMark/>
          </w:tcPr>
          <w:p w14:paraId="7C2A911A"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821</w:t>
            </w:r>
          </w:p>
        </w:tc>
        <w:tc>
          <w:tcPr>
            <w:tcW w:w="1160" w:type="dxa"/>
            <w:tcBorders>
              <w:top w:val="nil"/>
              <w:left w:val="nil"/>
              <w:bottom w:val="single" w:sz="4" w:space="0" w:color="auto"/>
              <w:right w:val="single" w:sz="4" w:space="0" w:color="auto"/>
            </w:tcBorders>
            <w:shd w:val="clear" w:color="000000" w:fill="FFFFFF"/>
            <w:noWrap/>
            <w:vAlign w:val="bottom"/>
            <w:hideMark/>
          </w:tcPr>
          <w:p w14:paraId="080D7E45"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29.25</w:t>
            </w:r>
          </w:p>
        </w:tc>
      </w:tr>
      <w:tr w:rsidR="00C147B4" w:rsidRPr="00C147B4" w14:paraId="366C6181" w14:textId="77777777" w:rsidTr="002A1A32">
        <w:trPr>
          <w:trHeight w:val="26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2ACD9CD2"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55-64</w:t>
            </w:r>
          </w:p>
        </w:tc>
        <w:tc>
          <w:tcPr>
            <w:tcW w:w="1020" w:type="dxa"/>
            <w:tcBorders>
              <w:top w:val="nil"/>
              <w:left w:val="nil"/>
              <w:bottom w:val="single" w:sz="4" w:space="0" w:color="auto"/>
              <w:right w:val="single" w:sz="4" w:space="0" w:color="auto"/>
            </w:tcBorders>
            <w:shd w:val="clear" w:color="auto" w:fill="auto"/>
            <w:noWrap/>
            <w:vAlign w:val="bottom"/>
            <w:hideMark/>
          </w:tcPr>
          <w:p w14:paraId="2D05FB95"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881</w:t>
            </w:r>
          </w:p>
        </w:tc>
        <w:tc>
          <w:tcPr>
            <w:tcW w:w="1160" w:type="dxa"/>
            <w:tcBorders>
              <w:top w:val="nil"/>
              <w:left w:val="nil"/>
              <w:bottom w:val="single" w:sz="4" w:space="0" w:color="auto"/>
              <w:right w:val="single" w:sz="4" w:space="0" w:color="auto"/>
            </w:tcBorders>
            <w:shd w:val="clear" w:color="000000" w:fill="FFFFFF"/>
            <w:noWrap/>
            <w:vAlign w:val="bottom"/>
            <w:hideMark/>
          </w:tcPr>
          <w:p w14:paraId="59914E0E"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31.39</w:t>
            </w:r>
          </w:p>
        </w:tc>
      </w:tr>
      <w:tr w:rsidR="00C147B4" w:rsidRPr="00C147B4" w14:paraId="6A4A0416" w14:textId="77777777" w:rsidTr="002A1A32">
        <w:trPr>
          <w:trHeight w:val="26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6E55359"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65+</w:t>
            </w:r>
          </w:p>
        </w:tc>
        <w:tc>
          <w:tcPr>
            <w:tcW w:w="1020" w:type="dxa"/>
            <w:tcBorders>
              <w:top w:val="nil"/>
              <w:left w:val="nil"/>
              <w:bottom w:val="single" w:sz="4" w:space="0" w:color="auto"/>
              <w:right w:val="single" w:sz="4" w:space="0" w:color="auto"/>
            </w:tcBorders>
            <w:shd w:val="clear" w:color="auto" w:fill="auto"/>
            <w:noWrap/>
            <w:vAlign w:val="bottom"/>
            <w:hideMark/>
          </w:tcPr>
          <w:p w14:paraId="56BB7418"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120</w:t>
            </w:r>
          </w:p>
        </w:tc>
        <w:tc>
          <w:tcPr>
            <w:tcW w:w="1160" w:type="dxa"/>
            <w:tcBorders>
              <w:top w:val="nil"/>
              <w:left w:val="nil"/>
              <w:bottom w:val="single" w:sz="4" w:space="0" w:color="auto"/>
              <w:right w:val="single" w:sz="4" w:space="0" w:color="auto"/>
            </w:tcBorders>
            <w:shd w:val="clear" w:color="000000" w:fill="FFFFFF"/>
            <w:noWrap/>
            <w:vAlign w:val="bottom"/>
            <w:hideMark/>
          </w:tcPr>
          <w:p w14:paraId="706192CF"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4.28</w:t>
            </w:r>
          </w:p>
        </w:tc>
      </w:tr>
      <w:tr w:rsidR="00C147B4" w:rsidRPr="00C147B4" w14:paraId="127E4A26" w14:textId="77777777" w:rsidTr="002A1A32">
        <w:trPr>
          <w:trHeight w:val="260"/>
        </w:trPr>
        <w:tc>
          <w:tcPr>
            <w:tcW w:w="2580" w:type="dxa"/>
            <w:tcBorders>
              <w:top w:val="nil"/>
              <w:left w:val="single" w:sz="4" w:space="0" w:color="auto"/>
              <w:bottom w:val="single" w:sz="4" w:space="0" w:color="auto"/>
              <w:right w:val="single" w:sz="4" w:space="0" w:color="auto"/>
            </w:tcBorders>
            <w:shd w:val="clear" w:color="DDEBF7" w:fill="D0CECE"/>
            <w:noWrap/>
            <w:vAlign w:val="bottom"/>
            <w:hideMark/>
          </w:tcPr>
          <w:p w14:paraId="348BA79E"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Grand Total</w:t>
            </w:r>
          </w:p>
        </w:tc>
        <w:tc>
          <w:tcPr>
            <w:tcW w:w="1020" w:type="dxa"/>
            <w:tcBorders>
              <w:top w:val="nil"/>
              <w:left w:val="nil"/>
              <w:bottom w:val="single" w:sz="4" w:space="0" w:color="auto"/>
              <w:right w:val="single" w:sz="4" w:space="0" w:color="auto"/>
            </w:tcBorders>
            <w:shd w:val="clear" w:color="DDEBF7" w:fill="D0CECE"/>
            <w:noWrap/>
            <w:vAlign w:val="bottom"/>
            <w:hideMark/>
          </w:tcPr>
          <w:p w14:paraId="6CAA3A41"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2807</w:t>
            </w:r>
          </w:p>
        </w:tc>
        <w:tc>
          <w:tcPr>
            <w:tcW w:w="1160" w:type="dxa"/>
            <w:tcBorders>
              <w:top w:val="nil"/>
              <w:left w:val="nil"/>
              <w:bottom w:val="single" w:sz="4" w:space="0" w:color="auto"/>
              <w:right w:val="single" w:sz="4" w:space="0" w:color="auto"/>
            </w:tcBorders>
            <w:shd w:val="clear" w:color="000000" w:fill="D0CECE"/>
            <w:noWrap/>
            <w:vAlign w:val="bottom"/>
            <w:hideMark/>
          </w:tcPr>
          <w:p w14:paraId="5989B1FE"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100.00</w:t>
            </w:r>
          </w:p>
        </w:tc>
      </w:tr>
    </w:tbl>
    <w:p w14:paraId="11EF445D" w14:textId="77777777" w:rsidR="00C147B4" w:rsidRPr="00C147B4" w:rsidRDefault="00C147B4" w:rsidP="00C147B4">
      <w:pPr>
        <w:jc w:val="center"/>
        <w:rPr>
          <w:rFonts w:ascii="Calibri" w:eastAsia="Times New Roman" w:hAnsi="Calibri" w:cs="Times New Roman"/>
        </w:rPr>
      </w:pPr>
      <w:r w:rsidRPr="00C147B4">
        <w:rPr>
          <w:rFonts w:ascii="Calibri" w:eastAsia="Times New Roman" w:hAnsi="Calibri" w:cs="Times New Roman"/>
          <w:noProof/>
        </w:rPr>
        <w:drawing>
          <wp:inline distT="0" distB="0" distL="0" distR="0" wp14:anchorId="6F0589DE" wp14:editId="428705F4">
            <wp:extent cx="4572000" cy="2743200"/>
            <wp:effectExtent l="0" t="0" r="0" b="0"/>
            <wp:docPr id="1" name="Chart 1">
              <a:extLst xmlns:a="http://schemas.openxmlformats.org/drawingml/2006/main">
                <a:ext uri="{FF2B5EF4-FFF2-40B4-BE49-F238E27FC236}">
                  <a16:creationId xmlns:a16="http://schemas.microsoft.com/office/drawing/2014/main" id="{BB0F6D7A-D60F-4B46-A9A4-2CAB1C762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1E4BE0" w14:textId="77777777" w:rsidR="00C147B4" w:rsidRPr="00C147B4" w:rsidRDefault="00C147B4" w:rsidP="00C147B4">
      <w:pPr>
        <w:rPr>
          <w:rFonts w:ascii="Calibri" w:eastAsia="Times New Roman" w:hAnsi="Calibri" w:cs="Times New Roman"/>
        </w:rPr>
      </w:pPr>
      <w:r w:rsidRPr="00C147B4">
        <w:rPr>
          <w:rFonts w:ascii="Arial" w:eastAsia="Times New Roman" w:hAnsi="Arial" w:cs="Arial"/>
          <w:sz w:val="24"/>
          <w:szCs w:val="24"/>
        </w:rPr>
        <w:br w:type="textWrapping" w:clear="all"/>
      </w:r>
    </w:p>
    <w:p w14:paraId="5C518AAB" w14:textId="2430CC73" w:rsidR="00C147B4" w:rsidRDefault="00C147B4" w:rsidP="00C147B4">
      <w:pPr>
        <w:outlineLvl w:val="0"/>
        <w:rPr>
          <w:rFonts w:ascii="Calibri" w:eastAsia="Times New Roman" w:hAnsi="Calibri" w:cs="Times New Roman"/>
          <w:b/>
          <w:color w:val="365F91"/>
          <w:sz w:val="28"/>
          <w:szCs w:val="28"/>
        </w:rPr>
      </w:pPr>
    </w:p>
    <w:p w14:paraId="7F2012AB" w14:textId="77777777" w:rsidR="002A1A32" w:rsidRPr="00C147B4" w:rsidRDefault="002A1A32" w:rsidP="00C147B4">
      <w:pPr>
        <w:outlineLvl w:val="0"/>
        <w:rPr>
          <w:rFonts w:ascii="Calibri" w:eastAsia="Times New Roman" w:hAnsi="Calibri" w:cs="Times New Roman"/>
          <w:b/>
          <w:color w:val="365F91"/>
          <w:sz w:val="28"/>
          <w:szCs w:val="28"/>
        </w:rPr>
      </w:pPr>
    </w:p>
    <w:p w14:paraId="3F41A819" w14:textId="77777777" w:rsidR="00C147B4" w:rsidRPr="00C147B4" w:rsidRDefault="00C147B4" w:rsidP="00C147B4">
      <w:pPr>
        <w:outlineLvl w:val="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Disability </w:t>
      </w:r>
    </w:p>
    <w:p w14:paraId="6395A14F" w14:textId="660618F7" w:rsidR="00C147B4" w:rsidRPr="00C147B4" w:rsidRDefault="00C147B4" w:rsidP="002A1A32">
      <w:pPr>
        <w:rPr>
          <w:rFonts w:ascii="Calibri" w:eastAsia="Times New Roman" w:hAnsi="Calibri" w:cs="Arial"/>
          <w:sz w:val="24"/>
          <w:szCs w:val="24"/>
        </w:rPr>
      </w:pPr>
      <w:r w:rsidRPr="00C147B4">
        <w:rPr>
          <w:rFonts w:ascii="Calibri" w:eastAsia="Times New Roman" w:hAnsi="Calibri" w:cs="Arial"/>
          <w:sz w:val="24"/>
          <w:szCs w:val="24"/>
        </w:rPr>
        <w:t xml:space="preserve">69% of the workforce has declared their disability status meaning that 31% are unknown.  Out of the staff who have declared, 5.1% of our workforce consider themselves to be disabled. Disability status is not asked on the Census so it is not possible to compare the number of staff employed to the local population. The 2011 Census asked if the respondent’s day-to-day activities were limited a lot, a little or not all, 14% stated that they were affected a lot.     </w:t>
      </w:r>
    </w:p>
    <w:p w14:paraId="7E5A3840" w14:textId="77777777" w:rsidR="00C147B4" w:rsidRPr="00C147B4" w:rsidRDefault="00C147B4" w:rsidP="00C147B4">
      <w:pPr>
        <w:spacing w:before="240"/>
        <w:rPr>
          <w:rFonts w:ascii="Calibri" w:eastAsia="Times New Roman" w:hAnsi="Calibri" w:cs="Times New Roman"/>
          <w:b/>
        </w:rPr>
      </w:pPr>
      <w:r w:rsidRPr="00C147B4">
        <w:rPr>
          <w:rFonts w:ascii="Calibri" w:eastAsia="Times New Roman" w:hAnsi="Calibri" w:cs="Times New Roman"/>
          <w:b/>
        </w:rPr>
        <w:t>Number of council staff by disability status:</w:t>
      </w:r>
    </w:p>
    <w:p w14:paraId="662CE64F" w14:textId="77777777" w:rsidR="00C147B4" w:rsidRPr="00C147B4" w:rsidRDefault="00C147B4" w:rsidP="00C147B4">
      <w:pPr>
        <w:spacing w:before="240"/>
        <w:rPr>
          <w:rFonts w:ascii="Calibri" w:eastAsia="Times New Roman" w:hAnsi="Calibri" w:cs="Times New Roman"/>
          <w:b/>
        </w:rPr>
      </w:pPr>
    </w:p>
    <w:tbl>
      <w:tblPr>
        <w:tblpPr w:leftFromText="180" w:rightFromText="180" w:vertAnchor="text" w:horzAnchor="page" w:tblpX="11111" w:tblpY="1244"/>
        <w:tblW w:w="3720" w:type="dxa"/>
        <w:tblLook w:val="04A0" w:firstRow="1" w:lastRow="0" w:firstColumn="1" w:lastColumn="0" w:noHBand="0" w:noVBand="1"/>
      </w:tblPr>
      <w:tblGrid>
        <w:gridCol w:w="1680"/>
        <w:gridCol w:w="1020"/>
        <w:gridCol w:w="1020"/>
      </w:tblGrid>
      <w:tr w:rsidR="00C147B4" w:rsidRPr="00C147B4" w14:paraId="02812597" w14:textId="77777777" w:rsidTr="002A1A32">
        <w:trPr>
          <w:trHeight w:val="260"/>
        </w:trPr>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38C56AA"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 xml:space="preserve">Disability </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14:paraId="19E59C2A"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No.</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14:paraId="18A4BA06"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w:t>
            </w:r>
          </w:p>
        </w:tc>
      </w:tr>
      <w:tr w:rsidR="00C147B4" w:rsidRPr="00C147B4" w14:paraId="17E7DE44" w14:textId="77777777" w:rsidTr="002A1A32">
        <w:trPr>
          <w:trHeight w:val="25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F8BC82E"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No</w:t>
            </w:r>
          </w:p>
        </w:tc>
        <w:tc>
          <w:tcPr>
            <w:tcW w:w="1020" w:type="dxa"/>
            <w:tcBorders>
              <w:top w:val="nil"/>
              <w:left w:val="nil"/>
              <w:bottom w:val="single" w:sz="4" w:space="0" w:color="auto"/>
              <w:right w:val="single" w:sz="4" w:space="0" w:color="auto"/>
            </w:tcBorders>
            <w:shd w:val="clear" w:color="auto" w:fill="auto"/>
            <w:noWrap/>
            <w:vAlign w:val="bottom"/>
            <w:hideMark/>
          </w:tcPr>
          <w:p w14:paraId="208B5AA4"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1797</w:t>
            </w:r>
          </w:p>
        </w:tc>
        <w:tc>
          <w:tcPr>
            <w:tcW w:w="1020" w:type="dxa"/>
            <w:tcBorders>
              <w:top w:val="nil"/>
              <w:left w:val="nil"/>
              <w:bottom w:val="single" w:sz="4" w:space="0" w:color="auto"/>
              <w:right w:val="single" w:sz="4" w:space="0" w:color="auto"/>
            </w:tcBorders>
            <w:shd w:val="clear" w:color="000000" w:fill="FFFFFF"/>
            <w:noWrap/>
            <w:vAlign w:val="bottom"/>
            <w:hideMark/>
          </w:tcPr>
          <w:p w14:paraId="1D210C76"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92.9</w:t>
            </w:r>
          </w:p>
        </w:tc>
      </w:tr>
      <w:tr w:rsidR="00C147B4" w:rsidRPr="00C147B4" w14:paraId="20C27FE3" w14:textId="77777777" w:rsidTr="002A1A32">
        <w:trPr>
          <w:trHeight w:val="26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546908C"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 xml:space="preserve">Prefer Not to say </w:t>
            </w:r>
          </w:p>
        </w:tc>
        <w:tc>
          <w:tcPr>
            <w:tcW w:w="1020" w:type="dxa"/>
            <w:tcBorders>
              <w:top w:val="nil"/>
              <w:left w:val="nil"/>
              <w:bottom w:val="single" w:sz="4" w:space="0" w:color="auto"/>
              <w:right w:val="single" w:sz="4" w:space="0" w:color="auto"/>
            </w:tcBorders>
            <w:shd w:val="clear" w:color="auto" w:fill="auto"/>
            <w:noWrap/>
            <w:vAlign w:val="bottom"/>
            <w:hideMark/>
          </w:tcPr>
          <w:p w14:paraId="6F242D63"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40</w:t>
            </w:r>
          </w:p>
        </w:tc>
        <w:tc>
          <w:tcPr>
            <w:tcW w:w="1020" w:type="dxa"/>
            <w:tcBorders>
              <w:top w:val="nil"/>
              <w:left w:val="nil"/>
              <w:bottom w:val="single" w:sz="4" w:space="0" w:color="auto"/>
              <w:right w:val="single" w:sz="4" w:space="0" w:color="auto"/>
            </w:tcBorders>
            <w:shd w:val="clear" w:color="000000" w:fill="FFFFFF"/>
            <w:noWrap/>
            <w:vAlign w:val="bottom"/>
            <w:hideMark/>
          </w:tcPr>
          <w:p w14:paraId="59EE29B2"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2.1</w:t>
            </w:r>
          </w:p>
        </w:tc>
      </w:tr>
      <w:tr w:rsidR="00C147B4" w:rsidRPr="00C147B4" w14:paraId="6BD3CE61" w14:textId="77777777" w:rsidTr="002A1A32">
        <w:trPr>
          <w:trHeight w:val="25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0B0E25B"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Yes</w:t>
            </w:r>
          </w:p>
        </w:tc>
        <w:tc>
          <w:tcPr>
            <w:tcW w:w="1020" w:type="dxa"/>
            <w:tcBorders>
              <w:top w:val="nil"/>
              <w:left w:val="nil"/>
              <w:bottom w:val="single" w:sz="4" w:space="0" w:color="auto"/>
              <w:right w:val="single" w:sz="4" w:space="0" w:color="auto"/>
            </w:tcBorders>
            <w:shd w:val="clear" w:color="auto" w:fill="auto"/>
            <w:noWrap/>
            <w:vAlign w:val="bottom"/>
            <w:hideMark/>
          </w:tcPr>
          <w:p w14:paraId="7CE8B46A"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98</w:t>
            </w:r>
          </w:p>
        </w:tc>
        <w:tc>
          <w:tcPr>
            <w:tcW w:w="1020" w:type="dxa"/>
            <w:tcBorders>
              <w:top w:val="nil"/>
              <w:left w:val="nil"/>
              <w:bottom w:val="single" w:sz="4" w:space="0" w:color="auto"/>
              <w:right w:val="single" w:sz="4" w:space="0" w:color="auto"/>
            </w:tcBorders>
            <w:shd w:val="clear" w:color="000000" w:fill="FFFFFF"/>
            <w:noWrap/>
            <w:vAlign w:val="bottom"/>
            <w:hideMark/>
          </w:tcPr>
          <w:p w14:paraId="065E5447"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5.1</w:t>
            </w:r>
          </w:p>
        </w:tc>
      </w:tr>
      <w:tr w:rsidR="00C147B4" w:rsidRPr="00C147B4" w14:paraId="511F3558" w14:textId="77777777" w:rsidTr="002A1A32">
        <w:trPr>
          <w:trHeight w:val="260"/>
        </w:trPr>
        <w:tc>
          <w:tcPr>
            <w:tcW w:w="1680" w:type="dxa"/>
            <w:tcBorders>
              <w:top w:val="nil"/>
              <w:left w:val="single" w:sz="4" w:space="0" w:color="auto"/>
              <w:bottom w:val="single" w:sz="4" w:space="0" w:color="auto"/>
              <w:right w:val="single" w:sz="4" w:space="0" w:color="auto"/>
            </w:tcBorders>
            <w:shd w:val="clear" w:color="DDEBF7" w:fill="D0CECE"/>
            <w:noWrap/>
            <w:vAlign w:val="bottom"/>
            <w:hideMark/>
          </w:tcPr>
          <w:p w14:paraId="37A14DFC"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Grand Total</w:t>
            </w:r>
          </w:p>
        </w:tc>
        <w:tc>
          <w:tcPr>
            <w:tcW w:w="1020" w:type="dxa"/>
            <w:tcBorders>
              <w:top w:val="nil"/>
              <w:left w:val="nil"/>
              <w:bottom w:val="single" w:sz="4" w:space="0" w:color="auto"/>
              <w:right w:val="single" w:sz="4" w:space="0" w:color="auto"/>
            </w:tcBorders>
            <w:shd w:val="clear" w:color="DDEBF7" w:fill="D0CECE"/>
            <w:noWrap/>
            <w:vAlign w:val="bottom"/>
            <w:hideMark/>
          </w:tcPr>
          <w:p w14:paraId="42398201"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1935</w:t>
            </w:r>
          </w:p>
        </w:tc>
        <w:tc>
          <w:tcPr>
            <w:tcW w:w="1020" w:type="dxa"/>
            <w:tcBorders>
              <w:top w:val="nil"/>
              <w:left w:val="nil"/>
              <w:bottom w:val="single" w:sz="4" w:space="0" w:color="auto"/>
              <w:right w:val="single" w:sz="4" w:space="0" w:color="auto"/>
            </w:tcBorders>
            <w:shd w:val="clear" w:color="DDEBF7" w:fill="D0CECE"/>
            <w:noWrap/>
            <w:vAlign w:val="bottom"/>
            <w:hideMark/>
          </w:tcPr>
          <w:p w14:paraId="333D48D0"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100</w:t>
            </w:r>
          </w:p>
        </w:tc>
      </w:tr>
    </w:tbl>
    <w:p w14:paraId="354E4C62" w14:textId="77777777" w:rsidR="00C147B4" w:rsidRPr="00C147B4" w:rsidRDefault="00C147B4" w:rsidP="00C147B4">
      <w:pPr>
        <w:spacing w:before="240"/>
        <w:ind w:firstLine="426"/>
        <w:rPr>
          <w:rFonts w:ascii="Calibri" w:eastAsia="Times New Roman" w:hAnsi="Calibri" w:cs="Times New Roman"/>
          <w:noProof/>
        </w:rPr>
      </w:pPr>
      <w:r w:rsidRPr="00C147B4">
        <w:rPr>
          <w:rFonts w:ascii="Calibri" w:eastAsia="Times New Roman" w:hAnsi="Calibri" w:cs="Times New Roman"/>
          <w:noProof/>
        </w:rPr>
        <w:drawing>
          <wp:inline distT="0" distB="0" distL="0" distR="0" wp14:anchorId="50FC48AB" wp14:editId="797C9897">
            <wp:extent cx="4705350" cy="2832100"/>
            <wp:effectExtent l="0" t="0" r="0" b="6350"/>
            <wp:docPr id="3" name="Chart 3">
              <a:extLst xmlns:a="http://schemas.openxmlformats.org/drawingml/2006/main">
                <a:ext uri="{FF2B5EF4-FFF2-40B4-BE49-F238E27FC236}">
                  <a16:creationId xmlns:a16="http://schemas.microsoft.com/office/drawing/2014/main" id="{202E6290-20B7-4A01-AF59-1EA1A08F8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748F09" w14:textId="77777777" w:rsidR="002A1A32" w:rsidRDefault="002A1A32" w:rsidP="00C147B4">
      <w:pPr>
        <w:rPr>
          <w:rFonts w:ascii="Calibri" w:eastAsia="Times New Roman" w:hAnsi="Calibri" w:cs="Times New Roman"/>
          <w:b/>
          <w:color w:val="365F91"/>
          <w:sz w:val="28"/>
          <w:szCs w:val="28"/>
        </w:rPr>
      </w:pPr>
    </w:p>
    <w:p w14:paraId="17D51628" w14:textId="0BE30CF3" w:rsidR="00C147B4" w:rsidRPr="00C147B4" w:rsidRDefault="00C147B4" w:rsidP="00C147B4">
      <w:pPr>
        <w:rPr>
          <w:rFonts w:ascii="Arial" w:eastAsia="Times New Roman" w:hAnsi="Arial" w:cs="Arial"/>
          <w:color w:val="FF0000"/>
          <w:sz w:val="24"/>
          <w:szCs w:val="24"/>
        </w:rPr>
      </w:pPr>
      <w:r w:rsidRPr="00C147B4">
        <w:rPr>
          <w:rFonts w:ascii="Calibri" w:eastAsia="Times New Roman" w:hAnsi="Calibri" w:cs="Times New Roman"/>
          <w:b/>
          <w:color w:val="365F91"/>
          <w:sz w:val="28"/>
          <w:szCs w:val="28"/>
        </w:rPr>
        <w:lastRenderedPageBreak/>
        <w:t xml:space="preserve">Sex    </w:t>
      </w:r>
      <w:r w:rsidRPr="00C147B4">
        <w:rPr>
          <w:rFonts w:ascii="Arial" w:eastAsia="Times New Roman" w:hAnsi="Arial" w:cs="Arial"/>
          <w:color w:val="FF0000"/>
          <w:sz w:val="24"/>
          <w:szCs w:val="24"/>
        </w:rPr>
        <w:t xml:space="preserve">                 </w:t>
      </w:r>
    </w:p>
    <w:p w14:paraId="64BFCC1A" w14:textId="77777777" w:rsidR="00C147B4" w:rsidRPr="00C147B4" w:rsidRDefault="00C147B4" w:rsidP="00C147B4">
      <w:pPr>
        <w:spacing w:before="240"/>
        <w:rPr>
          <w:rFonts w:ascii="Calibri" w:eastAsia="Times New Roman" w:hAnsi="Calibri" w:cs="Arial"/>
          <w:sz w:val="24"/>
          <w:szCs w:val="24"/>
        </w:rPr>
      </w:pPr>
      <w:r w:rsidRPr="00C147B4">
        <w:rPr>
          <w:rFonts w:ascii="Calibri" w:eastAsia="Times New Roman" w:hAnsi="Calibri" w:cs="Times New Roman"/>
          <w:sz w:val="24"/>
          <w:szCs w:val="24"/>
        </w:rPr>
        <w:t>As of 31</w:t>
      </w:r>
      <w:r w:rsidRPr="00C147B4">
        <w:rPr>
          <w:rFonts w:ascii="Calibri" w:eastAsia="Times New Roman" w:hAnsi="Calibri" w:cs="Times New Roman"/>
          <w:sz w:val="24"/>
          <w:szCs w:val="24"/>
          <w:vertAlign w:val="superscript"/>
        </w:rPr>
        <w:t>st</w:t>
      </w:r>
      <w:r w:rsidRPr="00C147B4">
        <w:rPr>
          <w:rFonts w:ascii="Calibri" w:eastAsia="Times New Roman" w:hAnsi="Calibri" w:cs="Times New Roman"/>
          <w:sz w:val="24"/>
          <w:szCs w:val="24"/>
        </w:rPr>
        <w:t xml:space="preserve"> March 2020 Knowsley Council’s workforce headcount was 2,402 staff (2,807 including casual staff</w:t>
      </w:r>
      <w:r w:rsidRPr="00C147B4">
        <w:rPr>
          <w:rFonts w:ascii="Calibri" w:eastAsia="Times New Roman" w:hAnsi="Calibri" w:cs="Arial"/>
          <w:sz w:val="24"/>
          <w:szCs w:val="24"/>
        </w:rPr>
        <w:t>)</w:t>
      </w:r>
      <w:r w:rsidRPr="00C147B4">
        <w:rPr>
          <w:rFonts w:ascii="Calibri" w:eastAsia="Times New Roman" w:hAnsi="Calibri" w:cs="Times New Roman"/>
          <w:sz w:val="24"/>
          <w:szCs w:val="24"/>
        </w:rPr>
        <w:t xml:space="preserve">.  </w:t>
      </w:r>
      <w:r w:rsidRPr="00C147B4">
        <w:rPr>
          <w:rFonts w:ascii="Calibri" w:eastAsia="Times New Roman" w:hAnsi="Calibri" w:cs="Arial"/>
          <w:sz w:val="24"/>
          <w:szCs w:val="24"/>
        </w:rPr>
        <w:t xml:space="preserve">The majority of the Council’s workforce at this date was female (71.9%); and for the first time the number of females who work part time is almost equal to the number that work full time (50.1% and 49.9%).  92.8% of the part-time workforce is female, meaning that any policy that affects more part-time staff than full-time staff will have a disproportionate impact on women. </w:t>
      </w:r>
    </w:p>
    <w:p w14:paraId="2D05FDE7" w14:textId="77777777" w:rsidR="00C147B4" w:rsidRPr="00C147B4" w:rsidRDefault="00C147B4" w:rsidP="00C147B4">
      <w:pPr>
        <w:spacing w:before="240"/>
        <w:rPr>
          <w:rFonts w:ascii="Calibri" w:eastAsia="Times New Roman" w:hAnsi="Calibri" w:cs="Arial"/>
          <w:b/>
          <w:sz w:val="24"/>
          <w:szCs w:val="24"/>
        </w:rPr>
      </w:pPr>
      <w:r w:rsidRPr="00C147B4">
        <w:rPr>
          <w:rFonts w:ascii="Calibri" w:eastAsia="Times New Roman" w:hAnsi="Calibri" w:cs="Arial"/>
          <w:b/>
          <w:sz w:val="24"/>
          <w:szCs w:val="24"/>
        </w:rPr>
        <w:t xml:space="preserve">Number of council staff by gender and contract status: </w:t>
      </w:r>
    </w:p>
    <w:p w14:paraId="59EA5571" w14:textId="77777777" w:rsidR="00C147B4" w:rsidRPr="00C147B4" w:rsidRDefault="00C147B4" w:rsidP="00C147B4">
      <w:pPr>
        <w:spacing w:before="240"/>
        <w:rPr>
          <w:rFonts w:ascii="Calibri" w:eastAsia="Times New Roman" w:hAnsi="Calibri" w:cs="Arial"/>
          <w:b/>
          <w:sz w:val="24"/>
          <w:szCs w:val="24"/>
        </w:rPr>
      </w:pPr>
    </w:p>
    <w:tbl>
      <w:tblPr>
        <w:tblpPr w:leftFromText="180" w:rightFromText="180" w:vertAnchor="page" w:horzAnchor="margin" w:tblpXSpec="right" w:tblpY="5981"/>
        <w:tblW w:w="5160" w:type="dxa"/>
        <w:tblLook w:val="04A0" w:firstRow="1" w:lastRow="0" w:firstColumn="1" w:lastColumn="0" w:noHBand="0" w:noVBand="1"/>
      </w:tblPr>
      <w:tblGrid>
        <w:gridCol w:w="1680"/>
        <w:gridCol w:w="1020"/>
        <w:gridCol w:w="1160"/>
        <w:gridCol w:w="1300"/>
      </w:tblGrid>
      <w:tr w:rsidR="00C147B4" w:rsidRPr="00C147B4" w14:paraId="0BF089BD" w14:textId="77777777" w:rsidTr="002A1A32">
        <w:trPr>
          <w:trHeight w:val="260"/>
        </w:trPr>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DCB7AE"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 </w:t>
            </w:r>
          </w:p>
        </w:tc>
        <w:tc>
          <w:tcPr>
            <w:tcW w:w="1020" w:type="dxa"/>
            <w:tcBorders>
              <w:top w:val="single" w:sz="4" w:space="0" w:color="auto"/>
              <w:left w:val="nil"/>
              <w:bottom w:val="single" w:sz="4" w:space="0" w:color="auto"/>
              <w:right w:val="single" w:sz="4" w:space="0" w:color="auto"/>
            </w:tcBorders>
            <w:shd w:val="clear" w:color="DDEBF7" w:fill="FFFFFF"/>
            <w:noWrap/>
            <w:vAlign w:val="bottom"/>
            <w:hideMark/>
          </w:tcPr>
          <w:p w14:paraId="677F49B4"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Female</w:t>
            </w:r>
          </w:p>
        </w:tc>
        <w:tc>
          <w:tcPr>
            <w:tcW w:w="1160" w:type="dxa"/>
            <w:tcBorders>
              <w:top w:val="single" w:sz="4" w:space="0" w:color="auto"/>
              <w:left w:val="nil"/>
              <w:bottom w:val="single" w:sz="4" w:space="0" w:color="auto"/>
              <w:right w:val="single" w:sz="4" w:space="0" w:color="auto"/>
            </w:tcBorders>
            <w:shd w:val="clear" w:color="DDEBF7" w:fill="FFFFFF"/>
            <w:noWrap/>
            <w:vAlign w:val="bottom"/>
            <w:hideMark/>
          </w:tcPr>
          <w:p w14:paraId="193B60C6"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Male</w:t>
            </w:r>
          </w:p>
        </w:tc>
        <w:tc>
          <w:tcPr>
            <w:tcW w:w="1300" w:type="dxa"/>
            <w:tcBorders>
              <w:top w:val="single" w:sz="4" w:space="0" w:color="auto"/>
              <w:left w:val="nil"/>
              <w:bottom w:val="single" w:sz="4" w:space="0" w:color="auto"/>
              <w:right w:val="single" w:sz="4" w:space="0" w:color="auto"/>
            </w:tcBorders>
            <w:shd w:val="clear" w:color="DDEBF7" w:fill="FFFFFF"/>
            <w:noWrap/>
            <w:vAlign w:val="bottom"/>
            <w:hideMark/>
          </w:tcPr>
          <w:p w14:paraId="15FC525D"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Grand Total</w:t>
            </w:r>
          </w:p>
        </w:tc>
      </w:tr>
      <w:tr w:rsidR="00C147B4" w:rsidRPr="00C147B4" w14:paraId="3983A08E" w14:textId="77777777" w:rsidTr="002A1A32">
        <w:trPr>
          <w:trHeight w:val="250"/>
        </w:trPr>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25E0C3DF"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Full time</w:t>
            </w:r>
          </w:p>
        </w:tc>
        <w:tc>
          <w:tcPr>
            <w:tcW w:w="1020" w:type="dxa"/>
            <w:tcBorders>
              <w:top w:val="nil"/>
              <w:left w:val="nil"/>
              <w:bottom w:val="single" w:sz="4" w:space="0" w:color="auto"/>
              <w:right w:val="single" w:sz="4" w:space="0" w:color="auto"/>
            </w:tcBorders>
            <w:shd w:val="clear" w:color="000000" w:fill="FFFFFF"/>
            <w:noWrap/>
            <w:vAlign w:val="bottom"/>
            <w:hideMark/>
          </w:tcPr>
          <w:p w14:paraId="3AC6FBEF"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866</w:t>
            </w:r>
          </w:p>
        </w:tc>
        <w:tc>
          <w:tcPr>
            <w:tcW w:w="1160" w:type="dxa"/>
            <w:tcBorders>
              <w:top w:val="nil"/>
              <w:left w:val="nil"/>
              <w:bottom w:val="single" w:sz="4" w:space="0" w:color="auto"/>
              <w:right w:val="single" w:sz="4" w:space="0" w:color="auto"/>
            </w:tcBorders>
            <w:shd w:val="clear" w:color="000000" w:fill="FFFFFF"/>
            <w:noWrap/>
            <w:vAlign w:val="bottom"/>
            <w:hideMark/>
          </w:tcPr>
          <w:p w14:paraId="7EBBC2F5"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609</w:t>
            </w:r>
          </w:p>
        </w:tc>
        <w:tc>
          <w:tcPr>
            <w:tcW w:w="1300" w:type="dxa"/>
            <w:tcBorders>
              <w:top w:val="nil"/>
              <w:left w:val="nil"/>
              <w:bottom w:val="single" w:sz="4" w:space="0" w:color="auto"/>
              <w:right w:val="single" w:sz="4" w:space="0" w:color="auto"/>
            </w:tcBorders>
            <w:shd w:val="clear" w:color="000000" w:fill="FFFFFF"/>
            <w:noWrap/>
            <w:vAlign w:val="bottom"/>
            <w:hideMark/>
          </w:tcPr>
          <w:p w14:paraId="0433279F"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1475</w:t>
            </w:r>
          </w:p>
        </w:tc>
      </w:tr>
      <w:tr w:rsidR="00C147B4" w:rsidRPr="00C147B4" w14:paraId="375D158F" w14:textId="77777777" w:rsidTr="002A1A32">
        <w:trPr>
          <w:trHeight w:val="250"/>
        </w:trPr>
        <w:tc>
          <w:tcPr>
            <w:tcW w:w="1680" w:type="dxa"/>
            <w:tcBorders>
              <w:top w:val="nil"/>
              <w:left w:val="single" w:sz="4" w:space="0" w:color="auto"/>
              <w:bottom w:val="single" w:sz="4" w:space="0" w:color="auto"/>
              <w:right w:val="single" w:sz="4" w:space="0" w:color="auto"/>
            </w:tcBorders>
            <w:shd w:val="clear" w:color="000000" w:fill="FFFFFF"/>
            <w:noWrap/>
            <w:vAlign w:val="bottom"/>
            <w:hideMark/>
          </w:tcPr>
          <w:p w14:paraId="09B33E5B"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Part Time</w:t>
            </w:r>
          </w:p>
        </w:tc>
        <w:tc>
          <w:tcPr>
            <w:tcW w:w="1020" w:type="dxa"/>
            <w:tcBorders>
              <w:top w:val="nil"/>
              <w:left w:val="nil"/>
              <w:bottom w:val="single" w:sz="4" w:space="0" w:color="auto"/>
              <w:right w:val="single" w:sz="4" w:space="0" w:color="auto"/>
            </w:tcBorders>
            <w:shd w:val="clear" w:color="000000" w:fill="FFFFFF"/>
            <w:noWrap/>
            <w:vAlign w:val="bottom"/>
            <w:hideMark/>
          </w:tcPr>
          <w:p w14:paraId="3C6BE993"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860</w:t>
            </w:r>
          </w:p>
        </w:tc>
        <w:tc>
          <w:tcPr>
            <w:tcW w:w="1160" w:type="dxa"/>
            <w:tcBorders>
              <w:top w:val="nil"/>
              <w:left w:val="nil"/>
              <w:bottom w:val="single" w:sz="4" w:space="0" w:color="auto"/>
              <w:right w:val="single" w:sz="4" w:space="0" w:color="auto"/>
            </w:tcBorders>
            <w:shd w:val="clear" w:color="000000" w:fill="FFFFFF"/>
            <w:noWrap/>
            <w:vAlign w:val="bottom"/>
            <w:hideMark/>
          </w:tcPr>
          <w:p w14:paraId="12EC6EF1"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67</w:t>
            </w:r>
          </w:p>
        </w:tc>
        <w:tc>
          <w:tcPr>
            <w:tcW w:w="1300" w:type="dxa"/>
            <w:tcBorders>
              <w:top w:val="nil"/>
              <w:left w:val="nil"/>
              <w:bottom w:val="single" w:sz="4" w:space="0" w:color="auto"/>
              <w:right w:val="single" w:sz="4" w:space="0" w:color="auto"/>
            </w:tcBorders>
            <w:shd w:val="clear" w:color="000000" w:fill="FFFFFF"/>
            <w:noWrap/>
            <w:vAlign w:val="bottom"/>
            <w:hideMark/>
          </w:tcPr>
          <w:p w14:paraId="1368D26B"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927</w:t>
            </w:r>
          </w:p>
        </w:tc>
      </w:tr>
      <w:tr w:rsidR="00C147B4" w:rsidRPr="00C147B4" w14:paraId="41B93F68" w14:textId="77777777" w:rsidTr="002A1A32">
        <w:trPr>
          <w:trHeight w:val="260"/>
        </w:trPr>
        <w:tc>
          <w:tcPr>
            <w:tcW w:w="1680" w:type="dxa"/>
            <w:tcBorders>
              <w:top w:val="nil"/>
              <w:left w:val="single" w:sz="4" w:space="0" w:color="auto"/>
              <w:bottom w:val="single" w:sz="4" w:space="0" w:color="auto"/>
              <w:right w:val="single" w:sz="4" w:space="0" w:color="auto"/>
            </w:tcBorders>
            <w:shd w:val="clear" w:color="DDEBF7" w:fill="BFBFBF"/>
            <w:noWrap/>
            <w:vAlign w:val="bottom"/>
            <w:hideMark/>
          </w:tcPr>
          <w:p w14:paraId="0910DBC1"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Grand Total</w:t>
            </w:r>
          </w:p>
        </w:tc>
        <w:tc>
          <w:tcPr>
            <w:tcW w:w="1020" w:type="dxa"/>
            <w:tcBorders>
              <w:top w:val="nil"/>
              <w:left w:val="nil"/>
              <w:bottom w:val="single" w:sz="4" w:space="0" w:color="auto"/>
              <w:right w:val="single" w:sz="4" w:space="0" w:color="auto"/>
            </w:tcBorders>
            <w:shd w:val="clear" w:color="DDEBF7" w:fill="BFBFBF"/>
            <w:noWrap/>
            <w:vAlign w:val="bottom"/>
            <w:hideMark/>
          </w:tcPr>
          <w:p w14:paraId="66CB358E"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1726</w:t>
            </w:r>
          </w:p>
        </w:tc>
        <w:tc>
          <w:tcPr>
            <w:tcW w:w="1160" w:type="dxa"/>
            <w:tcBorders>
              <w:top w:val="nil"/>
              <w:left w:val="nil"/>
              <w:bottom w:val="single" w:sz="4" w:space="0" w:color="auto"/>
              <w:right w:val="single" w:sz="4" w:space="0" w:color="auto"/>
            </w:tcBorders>
            <w:shd w:val="clear" w:color="DDEBF7" w:fill="BFBFBF"/>
            <w:noWrap/>
            <w:vAlign w:val="bottom"/>
            <w:hideMark/>
          </w:tcPr>
          <w:p w14:paraId="1CD27C81"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676</w:t>
            </w:r>
          </w:p>
        </w:tc>
        <w:tc>
          <w:tcPr>
            <w:tcW w:w="1300" w:type="dxa"/>
            <w:tcBorders>
              <w:top w:val="nil"/>
              <w:left w:val="nil"/>
              <w:bottom w:val="single" w:sz="4" w:space="0" w:color="auto"/>
              <w:right w:val="single" w:sz="4" w:space="0" w:color="auto"/>
            </w:tcBorders>
            <w:shd w:val="clear" w:color="DDEBF7" w:fill="BFBFBF"/>
            <w:noWrap/>
            <w:vAlign w:val="bottom"/>
            <w:hideMark/>
          </w:tcPr>
          <w:p w14:paraId="51FF1443"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2402</w:t>
            </w:r>
          </w:p>
        </w:tc>
      </w:tr>
    </w:tbl>
    <w:p w14:paraId="7AC2564A" w14:textId="77777777" w:rsidR="00C147B4" w:rsidRPr="00C147B4" w:rsidRDefault="00C147B4" w:rsidP="00C147B4">
      <w:pPr>
        <w:rPr>
          <w:rFonts w:ascii="Calibri" w:eastAsia="Times New Roman" w:hAnsi="Calibri" w:cs="Arial"/>
          <w:b/>
          <w:sz w:val="24"/>
          <w:szCs w:val="24"/>
        </w:rPr>
      </w:pPr>
      <w:r w:rsidRPr="00C147B4">
        <w:rPr>
          <w:rFonts w:ascii="Calibri" w:eastAsia="Times New Roman" w:hAnsi="Calibri" w:cs="Times New Roman"/>
          <w:noProof/>
        </w:rPr>
        <w:drawing>
          <wp:inline distT="0" distB="0" distL="0" distR="0" wp14:anchorId="3BF6DC35" wp14:editId="086AA0C5">
            <wp:extent cx="5245100" cy="3044825"/>
            <wp:effectExtent l="0" t="0" r="12700" b="3175"/>
            <wp:docPr id="4" name="Chart 4">
              <a:extLst xmlns:a="http://schemas.openxmlformats.org/drawingml/2006/main">
                <a:ext uri="{FF2B5EF4-FFF2-40B4-BE49-F238E27FC236}">
                  <a16:creationId xmlns:a16="http://schemas.microsoft.com/office/drawing/2014/main" id="{2849317A-8946-44E9-B1F3-8F26027C31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75491A" w14:textId="77777777" w:rsidR="00C147B4" w:rsidRPr="00C147B4" w:rsidRDefault="00C147B4" w:rsidP="00C147B4">
      <w:pPr>
        <w:rPr>
          <w:rFonts w:ascii="Calibri" w:eastAsia="Times New Roman" w:hAnsi="Calibri" w:cs="Arial"/>
          <w:b/>
          <w:sz w:val="24"/>
          <w:szCs w:val="24"/>
        </w:rPr>
      </w:pPr>
    </w:p>
    <w:p w14:paraId="0A82136F" w14:textId="77777777"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Sex (Gender) – Quartile Distribution</w:t>
      </w:r>
    </w:p>
    <w:p w14:paraId="3B304A83" w14:textId="77777777" w:rsidR="00C147B4" w:rsidRPr="00C147B4" w:rsidRDefault="00C147B4" w:rsidP="00C147B4">
      <w:pPr>
        <w:spacing w:before="240"/>
        <w:rPr>
          <w:rFonts w:ascii="Calibri" w:eastAsia="Times New Roman" w:hAnsi="Calibri" w:cs="Arial"/>
          <w:sz w:val="24"/>
          <w:szCs w:val="24"/>
        </w:rPr>
      </w:pPr>
      <w:r w:rsidRPr="00C147B4">
        <w:rPr>
          <w:rFonts w:ascii="Calibri" w:eastAsia="Times New Roman" w:hAnsi="Calibri" w:cs="Arial"/>
          <w:sz w:val="24"/>
          <w:szCs w:val="24"/>
        </w:rPr>
        <w:t>The Gender Pay Gap reporting legislation requires that the Council publishes the number of full-pay relevant men and women in each quartile of the pay structure.</w:t>
      </w:r>
    </w:p>
    <w:p w14:paraId="46A75E7A" w14:textId="6F0FC8A1" w:rsidR="00C147B4" w:rsidRPr="00C147B4" w:rsidRDefault="002A1A32" w:rsidP="00C147B4">
      <w:pPr>
        <w:rPr>
          <w:rFonts w:ascii="Calibri" w:eastAsia="Times New Roman" w:hAnsi="Calibri" w:cs="Arial"/>
          <w:b/>
          <w:color w:val="000000"/>
          <w:sz w:val="24"/>
          <w:szCs w:val="24"/>
        </w:rPr>
      </w:pPr>
      <w:r>
        <w:rPr>
          <w:rFonts w:ascii="Calibri" w:eastAsia="Times New Roman" w:hAnsi="Calibri" w:cs="Arial"/>
          <w:b/>
          <w:color w:val="000000"/>
          <w:sz w:val="24"/>
          <w:szCs w:val="24"/>
        </w:rPr>
        <w:t xml:space="preserve">              </w:t>
      </w:r>
      <w:r w:rsidR="00C147B4" w:rsidRPr="00C147B4">
        <w:rPr>
          <w:rFonts w:ascii="Calibri" w:eastAsia="Times New Roman" w:hAnsi="Calibri" w:cs="Arial"/>
          <w:b/>
          <w:color w:val="000000"/>
          <w:sz w:val="24"/>
          <w:szCs w:val="24"/>
        </w:rPr>
        <w:t>L</w:t>
      </w:r>
      <w:r>
        <w:rPr>
          <w:rFonts w:ascii="Calibri" w:eastAsia="Times New Roman" w:hAnsi="Calibri" w:cs="Arial"/>
          <w:b/>
          <w:color w:val="000000"/>
          <w:sz w:val="24"/>
          <w:szCs w:val="24"/>
        </w:rPr>
        <w:t>ower Quartile</w:t>
      </w:r>
      <w:r>
        <w:rPr>
          <w:rFonts w:ascii="Calibri" w:eastAsia="Times New Roman" w:hAnsi="Calibri" w:cs="Arial"/>
          <w:b/>
          <w:color w:val="000000"/>
          <w:sz w:val="24"/>
          <w:szCs w:val="24"/>
        </w:rPr>
        <w:tab/>
      </w:r>
      <w:r>
        <w:rPr>
          <w:rFonts w:ascii="Calibri" w:eastAsia="Times New Roman" w:hAnsi="Calibri" w:cs="Arial"/>
          <w:b/>
          <w:color w:val="000000"/>
          <w:sz w:val="24"/>
          <w:szCs w:val="24"/>
        </w:rPr>
        <w:tab/>
      </w:r>
      <w:r>
        <w:rPr>
          <w:rFonts w:ascii="Calibri" w:eastAsia="Times New Roman" w:hAnsi="Calibri" w:cs="Arial"/>
          <w:b/>
          <w:color w:val="000000"/>
          <w:sz w:val="24"/>
          <w:szCs w:val="24"/>
        </w:rPr>
        <w:tab/>
      </w:r>
      <w:r>
        <w:rPr>
          <w:rFonts w:ascii="Calibri" w:eastAsia="Times New Roman" w:hAnsi="Calibri" w:cs="Arial"/>
          <w:b/>
          <w:color w:val="000000"/>
          <w:sz w:val="24"/>
          <w:szCs w:val="24"/>
        </w:rPr>
        <w:tab/>
      </w:r>
      <w:r>
        <w:rPr>
          <w:rFonts w:ascii="Calibri" w:eastAsia="Times New Roman" w:hAnsi="Calibri" w:cs="Arial"/>
          <w:b/>
          <w:color w:val="000000"/>
          <w:sz w:val="24"/>
          <w:szCs w:val="24"/>
        </w:rPr>
        <w:tab/>
      </w:r>
      <w:r>
        <w:rPr>
          <w:rFonts w:ascii="Calibri" w:eastAsia="Times New Roman" w:hAnsi="Calibri" w:cs="Arial"/>
          <w:b/>
          <w:color w:val="000000"/>
          <w:sz w:val="24"/>
          <w:szCs w:val="24"/>
        </w:rPr>
        <w:tab/>
      </w:r>
      <w:r>
        <w:rPr>
          <w:rFonts w:ascii="Calibri" w:eastAsia="Times New Roman" w:hAnsi="Calibri" w:cs="Arial"/>
          <w:b/>
          <w:color w:val="000000"/>
          <w:sz w:val="24"/>
          <w:szCs w:val="24"/>
        </w:rPr>
        <w:tab/>
      </w:r>
      <w:r>
        <w:rPr>
          <w:rFonts w:ascii="Calibri" w:eastAsia="Times New Roman" w:hAnsi="Calibri" w:cs="Arial"/>
          <w:b/>
          <w:color w:val="000000"/>
          <w:sz w:val="24"/>
          <w:szCs w:val="24"/>
        </w:rPr>
        <w:tab/>
      </w:r>
      <w:r>
        <w:rPr>
          <w:rFonts w:ascii="Calibri" w:eastAsia="Times New Roman" w:hAnsi="Calibri" w:cs="Arial"/>
          <w:b/>
          <w:color w:val="000000"/>
          <w:sz w:val="24"/>
          <w:szCs w:val="24"/>
        </w:rPr>
        <w:tab/>
      </w:r>
      <w:r w:rsidR="00C147B4" w:rsidRPr="00C147B4">
        <w:rPr>
          <w:rFonts w:ascii="Calibri" w:eastAsia="Times New Roman" w:hAnsi="Calibri" w:cs="Arial"/>
          <w:b/>
          <w:color w:val="000000"/>
          <w:sz w:val="24"/>
          <w:szCs w:val="24"/>
        </w:rPr>
        <w:t>Lower Middle Quartile</w:t>
      </w:r>
      <w:r w:rsidR="00C147B4" w:rsidRPr="00C147B4">
        <w:rPr>
          <w:rFonts w:ascii="Calibri" w:eastAsia="Times New Roman" w:hAnsi="Calibri" w:cs="Arial"/>
          <w:b/>
          <w:color w:val="000000"/>
          <w:sz w:val="24"/>
          <w:szCs w:val="24"/>
        </w:rPr>
        <w:tab/>
      </w:r>
      <w:r w:rsidR="00C147B4" w:rsidRPr="00C147B4">
        <w:rPr>
          <w:rFonts w:ascii="Calibri" w:eastAsia="Times New Roman" w:hAnsi="Calibri" w:cs="Arial"/>
          <w:b/>
          <w:color w:val="000000"/>
          <w:sz w:val="24"/>
          <w:szCs w:val="24"/>
        </w:rPr>
        <w:tab/>
      </w:r>
      <w:r w:rsidR="00C147B4" w:rsidRPr="00C147B4">
        <w:rPr>
          <w:rFonts w:ascii="Calibri" w:eastAsia="Times New Roman" w:hAnsi="Calibri" w:cs="Arial"/>
          <w:b/>
          <w:color w:val="000000"/>
          <w:sz w:val="24"/>
          <w:szCs w:val="24"/>
        </w:rPr>
        <w:tab/>
      </w:r>
      <w:r w:rsidR="00C147B4" w:rsidRPr="00C147B4">
        <w:rPr>
          <w:rFonts w:ascii="Calibri" w:eastAsia="Times New Roman" w:hAnsi="Calibri" w:cs="Arial"/>
          <w:b/>
          <w:color w:val="000000"/>
          <w:sz w:val="24"/>
          <w:szCs w:val="24"/>
        </w:rPr>
        <w:tab/>
      </w:r>
      <w:r w:rsidR="00C147B4" w:rsidRPr="00C147B4">
        <w:rPr>
          <w:rFonts w:ascii="Calibri" w:eastAsia="Times New Roman" w:hAnsi="Calibri" w:cs="Arial"/>
          <w:b/>
          <w:color w:val="000000"/>
          <w:sz w:val="24"/>
          <w:szCs w:val="24"/>
        </w:rPr>
        <w:tab/>
      </w:r>
    </w:p>
    <w:tbl>
      <w:tblPr>
        <w:tblW w:w="5240" w:type="dxa"/>
        <w:tblLook w:val="04A0" w:firstRow="1" w:lastRow="0" w:firstColumn="1" w:lastColumn="0" w:noHBand="0" w:noVBand="1"/>
      </w:tblPr>
      <w:tblGrid>
        <w:gridCol w:w="2972"/>
        <w:gridCol w:w="1069"/>
        <w:gridCol w:w="1199"/>
      </w:tblGrid>
      <w:tr w:rsidR="00C147B4" w:rsidRPr="00C147B4" w14:paraId="371A9EAB" w14:textId="77777777" w:rsidTr="002A1A32">
        <w:trPr>
          <w:trHeight w:hRule="exact" w:val="363"/>
        </w:trPr>
        <w:tc>
          <w:tcPr>
            <w:tcW w:w="297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DE054D3"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 </w:t>
            </w:r>
          </w:p>
        </w:tc>
        <w:tc>
          <w:tcPr>
            <w:tcW w:w="1069" w:type="dxa"/>
            <w:tcBorders>
              <w:top w:val="single" w:sz="4" w:space="0" w:color="auto"/>
              <w:left w:val="nil"/>
              <w:bottom w:val="single" w:sz="4" w:space="0" w:color="auto"/>
              <w:right w:val="single" w:sz="4" w:space="0" w:color="auto"/>
            </w:tcBorders>
            <w:shd w:val="clear" w:color="auto" w:fill="D9D9D9"/>
            <w:noWrap/>
            <w:vAlign w:val="bottom"/>
            <w:hideMark/>
          </w:tcPr>
          <w:p w14:paraId="4222E8B6" w14:textId="77777777" w:rsidR="00C147B4" w:rsidRPr="00C147B4" w:rsidRDefault="00C147B4" w:rsidP="00C147B4">
            <w:pPr>
              <w:spacing w:after="0" w:line="240" w:lineRule="auto"/>
              <w:jc w:val="center"/>
              <w:rPr>
                <w:rFonts w:ascii="Calibri" w:eastAsia="Times New Roman" w:hAnsi="Calibri" w:cs="Calibri"/>
                <w:b/>
                <w:sz w:val="24"/>
                <w:szCs w:val="24"/>
              </w:rPr>
            </w:pPr>
            <w:r w:rsidRPr="00C147B4">
              <w:rPr>
                <w:rFonts w:ascii="Calibri" w:eastAsia="Times New Roman" w:hAnsi="Calibri" w:cs="Calibri"/>
                <w:b/>
                <w:sz w:val="24"/>
                <w:szCs w:val="24"/>
              </w:rPr>
              <w:t>Number</w:t>
            </w:r>
          </w:p>
        </w:tc>
        <w:tc>
          <w:tcPr>
            <w:tcW w:w="1199" w:type="dxa"/>
            <w:tcBorders>
              <w:top w:val="single" w:sz="4" w:space="0" w:color="auto"/>
              <w:left w:val="nil"/>
              <w:bottom w:val="single" w:sz="4" w:space="0" w:color="auto"/>
              <w:right w:val="single" w:sz="4" w:space="0" w:color="auto"/>
            </w:tcBorders>
            <w:shd w:val="clear" w:color="auto" w:fill="D9D9D9"/>
            <w:noWrap/>
            <w:vAlign w:val="bottom"/>
            <w:hideMark/>
          </w:tcPr>
          <w:p w14:paraId="50466196" w14:textId="77777777" w:rsidR="00C147B4" w:rsidRPr="00C147B4" w:rsidRDefault="00C147B4" w:rsidP="00C147B4">
            <w:pPr>
              <w:spacing w:after="0" w:line="240" w:lineRule="auto"/>
              <w:jc w:val="center"/>
              <w:rPr>
                <w:rFonts w:ascii="Calibri" w:eastAsia="Times New Roman" w:hAnsi="Calibri" w:cs="Calibri"/>
                <w:b/>
                <w:sz w:val="24"/>
                <w:szCs w:val="24"/>
              </w:rPr>
            </w:pPr>
            <w:r w:rsidRPr="00C147B4">
              <w:rPr>
                <w:rFonts w:ascii="Calibri" w:eastAsia="Times New Roman" w:hAnsi="Calibri" w:cs="Calibri"/>
                <w:b/>
                <w:sz w:val="24"/>
                <w:szCs w:val="24"/>
              </w:rPr>
              <w:t>%</w:t>
            </w:r>
          </w:p>
        </w:tc>
      </w:tr>
      <w:tr w:rsidR="00C147B4" w:rsidRPr="00C147B4" w14:paraId="3673E7ED" w14:textId="77777777" w:rsidTr="002A1A32">
        <w:trPr>
          <w:trHeight w:hRule="exact" w:val="36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345E489"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Female</w:t>
            </w:r>
          </w:p>
        </w:tc>
        <w:tc>
          <w:tcPr>
            <w:tcW w:w="1069" w:type="dxa"/>
            <w:tcBorders>
              <w:top w:val="nil"/>
              <w:left w:val="nil"/>
              <w:bottom w:val="single" w:sz="4" w:space="0" w:color="auto"/>
              <w:right w:val="single" w:sz="4" w:space="0" w:color="auto"/>
            </w:tcBorders>
            <w:shd w:val="clear" w:color="auto" w:fill="auto"/>
            <w:noWrap/>
            <w:vAlign w:val="bottom"/>
          </w:tcPr>
          <w:p w14:paraId="7B5D0A26"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558</w:t>
            </w:r>
          </w:p>
        </w:tc>
        <w:tc>
          <w:tcPr>
            <w:tcW w:w="1199" w:type="dxa"/>
            <w:tcBorders>
              <w:top w:val="nil"/>
              <w:left w:val="nil"/>
              <w:bottom w:val="single" w:sz="4" w:space="0" w:color="auto"/>
              <w:right w:val="single" w:sz="4" w:space="0" w:color="auto"/>
            </w:tcBorders>
            <w:shd w:val="clear" w:color="auto" w:fill="auto"/>
            <w:noWrap/>
            <w:vAlign w:val="bottom"/>
          </w:tcPr>
          <w:p w14:paraId="3B5B3E5A"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87</w:t>
            </w:r>
          </w:p>
        </w:tc>
      </w:tr>
      <w:tr w:rsidR="00C147B4" w:rsidRPr="00C147B4" w14:paraId="4FC659A2" w14:textId="77777777" w:rsidTr="002A1A32">
        <w:trPr>
          <w:trHeight w:hRule="exact" w:val="36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79531C9"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Male</w:t>
            </w:r>
          </w:p>
        </w:tc>
        <w:tc>
          <w:tcPr>
            <w:tcW w:w="1069" w:type="dxa"/>
            <w:tcBorders>
              <w:top w:val="nil"/>
              <w:left w:val="nil"/>
              <w:bottom w:val="single" w:sz="4" w:space="0" w:color="auto"/>
              <w:right w:val="single" w:sz="4" w:space="0" w:color="auto"/>
            </w:tcBorders>
            <w:shd w:val="clear" w:color="auto" w:fill="auto"/>
            <w:noWrap/>
            <w:vAlign w:val="bottom"/>
          </w:tcPr>
          <w:p w14:paraId="51A3B8D2"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87</w:t>
            </w:r>
          </w:p>
        </w:tc>
        <w:tc>
          <w:tcPr>
            <w:tcW w:w="1199" w:type="dxa"/>
            <w:tcBorders>
              <w:top w:val="nil"/>
              <w:left w:val="nil"/>
              <w:bottom w:val="single" w:sz="4" w:space="0" w:color="auto"/>
              <w:right w:val="single" w:sz="4" w:space="0" w:color="auto"/>
            </w:tcBorders>
            <w:shd w:val="clear" w:color="auto" w:fill="auto"/>
            <w:noWrap/>
            <w:vAlign w:val="bottom"/>
          </w:tcPr>
          <w:p w14:paraId="10F6311A"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13</w:t>
            </w:r>
          </w:p>
        </w:tc>
      </w:tr>
      <w:tr w:rsidR="00C147B4" w:rsidRPr="00C147B4" w14:paraId="28C57FDB" w14:textId="77777777" w:rsidTr="002A1A32">
        <w:trPr>
          <w:trHeight w:hRule="exact" w:val="363"/>
        </w:trPr>
        <w:tc>
          <w:tcPr>
            <w:tcW w:w="2972" w:type="dxa"/>
            <w:tcBorders>
              <w:top w:val="nil"/>
              <w:left w:val="single" w:sz="4" w:space="0" w:color="auto"/>
              <w:bottom w:val="single" w:sz="4" w:space="0" w:color="auto"/>
              <w:right w:val="single" w:sz="4" w:space="0" w:color="auto"/>
            </w:tcBorders>
            <w:shd w:val="clear" w:color="auto" w:fill="D9D9D9"/>
            <w:noWrap/>
            <w:vAlign w:val="bottom"/>
            <w:hideMark/>
          </w:tcPr>
          <w:p w14:paraId="0769759F" w14:textId="77777777" w:rsidR="00C147B4" w:rsidRPr="00C147B4" w:rsidRDefault="00C147B4" w:rsidP="00C147B4">
            <w:pPr>
              <w:spacing w:after="0" w:line="240" w:lineRule="auto"/>
              <w:rPr>
                <w:rFonts w:ascii="Calibri" w:eastAsia="Times New Roman" w:hAnsi="Calibri" w:cs="Calibri"/>
                <w:b/>
                <w:bCs/>
                <w:color w:val="000000"/>
                <w:sz w:val="24"/>
                <w:szCs w:val="24"/>
              </w:rPr>
            </w:pPr>
            <w:r w:rsidRPr="00C147B4">
              <w:rPr>
                <w:rFonts w:ascii="Calibri" w:eastAsia="Times New Roman" w:hAnsi="Calibri" w:cs="Calibri"/>
                <w:b/>
                <w:bCs/>
                <w:color w:val="000000"/>
                <w:sz w:val="24"/>
                <w:szCs w:val="24"/>
              </w:rPr>
              <w:t>Grand Total</w:t>
            </w:r>
          </w:p>
        </w:tc>
        <w:tc>
          <w:tcPr>
            <w:tcW w:w="1069" w:type="dxa"/>
            <w:tcBorders>
              <w:top w:val="nil"/>
              <w:left w:val="nil"/>
              <w:bottom w:val="single" w:sz="4" w:space="0" w:color="auto"/>
              <w:right w:val="single" w:sz="4" w:space="0" w:color="auto"/>
            </w:tcBorders>
            <w:shd w:val="clear" w:color="auto" w:fill="D9D9D9"/>
            <w:noWrap/>
            <w:vAlign w:val="bottom"/>
          </w:tcPr>
          <w:p w14:paraId="73D1F919" w14:textId="77777777" w:rsidR="00C147B4" w:rsidRPr="00C147B4" w:rsidRDefault="00C147B4" w:rsidP="00C147B4">
            <w:pPr>
              <w:spacing w:after="0" w:line="240" w:lineRule="auto"/>
              <w:jc w:val="right"/>
              <w:rPr>
                <w:rFonts w:ascii="Calibri" w:eastAsia="Times New Roman" w:hAnsi="Calibri" w:cs="Calibri"/>
                <w:b/>
                <w:bCs/>
                <w:color w:val="000000"/>
                <w:sz w:val="24"/>
                <w:szCs w:val="24"/>
              </w:rPr>
            </w:pPr>
            <w:r w:rsidRPr="00C147B4">
              <w:rPr>
                <w:rFonts w:ascii="Calibri" w:eastAsia="Times New Roman" w:hAnsi="Calibri" w:cs="Calibri"/>
                <w:b/>
                <w:bCs/>
                <w:color w:val="000000"/>
                <w:sz w:val="24"/>
                <w:szCs w:val="24"/>
              </w:rPr>
              <w:t>645</w:t>
            </w:r>
          </w:p>
        </w:tc>
        <w:tc>
          <w:tcPr>
            <w:tcW w:w="1199" w:type="dxa"/>
            <w:tcBorders>
              <w:top w:val="nil"/>
              <w:left w:val="nil"/>
              <w:bottom w:val="single" w:sz="4" w:space="0" w:color="auto"/>
              <w:right w:val="single" w:sz="4" w:space="0" w:color="auto"/>
            </w:tcBorders>
            <w:shd w:val="clear" w:color="auto" w:fill="D9D9D9"/>
            <w:noWrap/>
            <w:vAlign w:val="bottom"/>
          </w:tcPr>
          <w:p w14:paraId="594E37F4" w14:textId="77777777" w:rsidR="00C147B4" w:rsidRPr="00C147B4" w:rsidRDefault="00C147B4" w:rsidP="00C147B4">
            <w:pPr>
              <w:spacing w:after="0" w:line="240" w:lineRule="auto"/>
              <w:jc w:val="right"/>
              <w:rPr>
                <w:rFonts w:ascii="Calibri" w:eastAsia="Times New Roman" w:hAnsi="Calibri" w:cs="Calibri"/>
                <w:b/>
                <w:sz w:val="24"/>
                <w:szCs w:val="24"/>
              </w:rPr>
            </w:pPr>
            <w:r w:rsidRPr="00C147B4">
              <w:rPr>
                <w:rFonts w:ascii="Calibri" w:eastAsia="Times New Roman" w:hAnsi="Calibri" w:cs="Calibri"/>
                <w:b/>
                <w:sz w:val="24"/>
                <w:szCs w:val="24"/>
              </w:rPr>
              <w:t>100</w:t>
            </w:r>
          </w:p>
        </w:tc>
      </w:tr>
    </w:tbl>
    <w:tbl>
      <w:tblPr>
        <w:tblpPr w:leftFromText="180" w:rightFromText="180" w:vertAnchor="text" w:horzAnchor="page" w:tblpX="8809" w:tblpY="-1446"/>
        <w:tblW w:w="5382" w:type="dxa"/>
        <w:tblLook w:val="04A0" w:firstRow="1" w:lastRow="0" w:firstColumn="1" w:lastColumn="0" w:noHBand="0" w:noVBand="1"/>
      </w:tblPr>
      <w:tblGrid>
        <w:gridCol w:w="2972"/>
        <w:gridCol w:w="1418"/>
        <w:gridCol w:w="992"/>
      </w:tblGrid>
      <w:tr w:rsidR="00C147B4" w:rsidRPr="00C147B4" w14:paraId="6758C700" w14:textId="77777777" w:rsidTr="002A1A32">
        <w:trPr>
          <w:trHeight w:hRule="exact" w:val="363"/>
        </w:trPr>
        <w:tc>
          <w:tcPr>
            <w:tcW w:w="29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BC6C3D5" w14:textId="77777777" w:rsidR="00C147B4" w:rsidRPr="00C147B4" w:rsidRDefault="00C147B4" w:rsidP="002A1A32">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 </w:t>
            </w:r>
          </w:p>
        </w:tc>
        <w:tc>
          <w:tcPr>
            <w:tcW w:w="1418" w:type="dxa"/>
            <w:tcBorders>
              <w:top w:val="single" w:sz="4" w:space="0" w:color="auto"/>
              <w:left w:val="nil"/>
              <w:bottom w:val="single" w:sz="4" w:space="0" w:color="auto"/>
              <w:right w:val="single" w:sz="4" w:space="0" w:color="auto"/>
            </w:tcBorders>
            <w:shd w:val="clear" w:color="000000" w:fill="D9D9D9"/>
            <w:noWrap/>
            <w:vAlign w:val="bottom"/>
            <w:hideMark/>
          </w:tcPr>
          <w:p w14:paraId="5353A2F6" w14:textId="77777777" w:rsidR="00C147B4" w:rsidRPr="00C147B4" w:rsidRDefault="00C147B4" w:rsidP="002A1A32">
            <w:pPr>
              <w:spacing w:after="0" w:line="240" w:lineRule="auto"/>
              <w:jc w:val="center"/>
              <w:rPr>
                <w:rFonts w:ascii="Calibri" w:eastAsia="Times New Roman" w:hAnsi="Calibri" w:cs="Calibri"/>
                <w:b/>
                <w:bCs/>
                <w:sz w:val="24"/>
                <w:szCs w:val="24"/>
              </w:rPr>
            </w:pPr>
            <w:r w:rsidRPr="00C147B4">
              <w:rPr>
                <w:rFonts w:ascii="Calibri" w:eastAsia="Times New Roman" w:hAnsi="Calibri" w:cs="Calibri"/>
                <w:b/>
                <w:bCs/>
                <w:sz w:val="24"/>
                <w:szCs w:val="24"/>
              </w:rPr>
              <w:t>Number</w:t>
            </w:r>
          </w:p>
        </w:tc>
        <w:tc>
          <w:tcPr>
            <w:tcW w:w="992" w:type="dxa"/>
            <w:tcBorders>
              <w:top w:val="single" w:sz="4" w:space="0" w:color="auto"/>
              <w:left w:val="nil"/>
              <w:bottom w:val="single" w:sz="4" w:space="0" w:color="auto"/>
              <w:right w:val="single" w:sz="4" w:space="0" w:color="auto"/>
            </w:tcBorders>
            <w:shd w:val="clear" w:color="000000" w:fill="D9D9D9"/>
            <w:noWrap/>
            <w:vAlign w:val="bottom"/>
            <w:hideMark/>
          </w:tcPr>
          <w:p w14:paraId="4A9F9660" w14:textId="77777777" w:rsidR="00C147B4" w:rsidRPr="00C147B4" w:rsidRDefault="00C147B4" w:rsidP="002A1A32">
            <w:pPr>
              <w:spacing w:after="0" w:line="240" w:lineRule="auto"/>
              <w:jc w:val="center"/>
              <w:rPr>
                <w:rFonts w:ascii="Calibri" w:eastAsia="Times New Roman" w:hAnsi="Calibri" w:cs="Calibri"/>
                <w:b/>
                <w:bCs/>
                <w:sz w:val="24"/>
                <w:szCs w:val="24"/>
              </w:rPr>
            </w:pPr>
            <w:r w:rsidRPr="00C147B4">
              <w:rPr>
                <w:rFonts w:ascii="Calibri" w:eastAsia="Times New Roman" w:hAnsi="Calibri" w:cs="Calibri"/>
                <w:b/>
                <w:bCs/>
                <w:sz w:val="24"/>
                <w:szCs w:val="24"/>
              </w:rPr>
              <w:t>%</w:t>
            </w:r>
          </w:p>
        </w:tc>
      </w:tr>
      <w:tr w:rsidR="00C147B4" w:rsidRPr="00C147B4" w14:paraId="4C4E579E" w14:textId="77777777" w:rsidTr="002A1A32">
        <w:trPr>
          <w:trHeight w:hRule="exact" w:val="36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3D73AF1" w14:textId="77777777" w:rsidR="00C147B4" w:rsidRPr="00C147B4" w:rsidRDefault="00C147B4" w:rsidP="002A1A32">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Female</w:t>
            </w:r>
          </w:p>
        </w:tc>
        <w:tc>
          <w:tcPr>
            <w:tcW w:w="1418" w:type="dxa"/>
            <w:tcBorders>
              <w:top w:val="nil"/>
              <w:left w:val="nil"/>
              <w:bottom w:val="single" w:sz="4" w:space="0" w:color="auto"/>
              <w:right w:val="single" w:sz="4" w:space="0" w:color="auto"/>
            </w:tcBorders>
            <w:shd w:val="clear" w:color="auto" w:fill="auto"/>
            <w:noWrap/>
            <w:vAlign w:val="bottom"/>
          </w:tcPr>
          <w:p w14:paraId="02FD17A1" w14:textId="77777777" w:rsidR="00C147B4" w:rsidRPr="00C147B4" w:rsidRDefault="00C147B4" w:rsidP="002A1A32">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448</w:t>
            </w:r>
          </w:p>
        </w:tc>
        <w:tc>
          <w:tcPr>
            <w:tcW w:w="992" w:type="dxa"/>
            <w:tcBorders>
              <w:top w:val="nil"/>
              <w:left w:val="nil"/>
              <w:bottom w:val="single" w:sz="4" w:space="0" w:color="auto"/>
              <w:right w:val="single" w:sz="4" w:space="0" w:color="auto"/>
            </w:tcBorders>
            <w:shd w:val="clear" w:color="auto" w:fill="auto"/>
            <w:noWrap/>
            <w:vAlign w:val="bottom"/>
          </w:tcPr>
          <w:p w14:paraId="42803A6E" w14:textId="77777777" w:rsidR="00C147B4" w:rsidRPr="00C147B4" w:rsidRDefault="00C147B4" w:rsidP="002A1A32">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69</w:t>
            </w:r>
          </w:p>
        </w:tc>
      </w:tr>
      <w:tr w:rsidR="00C147B4" w:rsidRPr="00C147B4" w14:paraId="6D08FE9B" w14:textId="77777777" w:rsidTr="002A1A32">
        <w:trPr>
          <w:trHeight w:hRule="exact" w:val="36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4842814" w14:textId="77777777" w:rsidR="00C147B4" w:rsidRPr="00C147B4" w:rsidRDefault="00C147B4" w:rsidP="002A1A32">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Male</w:t>
            </w:r>
          </w:p>
        </w:tc>
        <w:tc>
          <w:tcPr>
            <w:tcW w:w="1418" w:type="dxa"/>
            <w:tcBorders>
              <w:top w:val="nil"/>
              <w:left w:val="nil"/>
              <w:bottom w:val="single" w:sz="4" w:space="0" w:color="auto"/>
              <w:right w:val="single" w:sz="4" w:space="0" w:color="auto"/>
            </w:tcBorders>
            <w:shd w:val="clear" w:color="auto" w:fill="auto"/>
            <w:noWrap/>
            <w:vAlign w:val="bottom"/>
          </w:tcPr>
          <w:p w14:paraId="0D0285BF" w14:textId="77777777" w:rsidR="00C147B4" w:rsidRPr="00C147B4" w:rsidRDefault="00C147B4" w:rsidP="002A1A32">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197</w:t>
            </w:r>
          </w:p>
        </w:tc>
        <w:tc>
          <w:tcPr>
            <w:tcW w:w="992" w:type="dxa"/>
            <w:tcBorders>
              <w:top w:val="nil"/>
              <w:left w:val="nil"/>
              <w:bottom w:val="single" w:sz="4" w:space="0" w:color="auto"/>
              <w:right w:val="single" w:sz="4" w:space="0" w:color="auto"/>
            </w:tcBorders>
            <w:shd w:val="clear" w:color="auto" w:fill="auto"/>
            <w:noWrap/>
            <w:vAlign w:val="bottom"/>
          </w:tcPr>
          <w:p w14:paraId="34D1BB3E" w14:textId="77777777" w:rsidR="00C147B4" w:rsidRPr="00C147B4" w:rsidRDefault="00C147B4" w:rsidP="002A1A32">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31</w:t>
            </w:r>
          </w:p>
        </w:tc>
      </w:tr>
      <w:tr w:rsidR="00C147B4" w:rsidRPr="00C147B4" w14:paraId="5FE4E94D" w14:textId="77777777" w:rsidTr="002A1A32">
        <w:trPr>
          <w:trHeight w:hRule="exact" w:val="363"/>
        </w:trPr>
        <w:tc>
          <w:tcPr>
            <w:tcW w:w="2972" w:type="dxa"/>
            <w:tcBorders>
              <w:top w:val="nil"/>
              <w:left w:val="single" w:sz="4" w:space="0" w:color="auto"/>
              <w:bottom w:val="single" w:sz="4" w:space="0" w:color="auto"/>
              <w:right w:val="single" w:sz="4" w:space="0" w:color="auto"/>
            </w:tcBorders>
            <w:shd w:val="clear" w:color="EBF1DE" w:fill="D9D9D9"/>
            <w:noWrap/>
            <w:vAlign w:val="bottom"/>
            <w:hideMark/>
          </w:tcPr>
          <w:p w14:paraId="0D1C6C49" w14:textId="77777777" w:rsidR="00C147B4" w:rsidRPr="00C147B4" w:rsidRDefault="00C147B4" w:rsidP="002A1A32">
            <w:pPr>
              <w:spacing w:after="0" w:line="240" w:lineRule="auto"/>
              <w:rPr>
                <w:rFonts w:ascii="Calibri" w:eastAsia="Times New Roman" w:hAnsi="Calibri" w:cs="Calibri"/>
                <w:b/>
                <w:bCs/>
                <w:sz w:val="24"/>
                <w:szCs w:val="24"/>
              </w:rPr>
            </w:pPr>
            <w:r w:rsidRPr="00C147B4">
              <w:rPr>
                <w:rFonts w:ascii="Calibri" w:eastAsia="Times New Roman" w:hAnsi="Calibri" w:cs="Calibri"/>
                <w:b/>
                <w:bCs/>
                <w:sz w:val="24"/>
                <w:szCs w:val="24"/>
              </w:rPr>
              <w:t>Grand Total</w:t>
            </w:r>
          </w:p>
        </w:tc>
        <w:tc>
          <w:tcPr>
            <w:tcW w:w="1418" w:type="dxa"/>
            <w:tcBorders>
              <w:top w:val="nil"/>
              <w:left w:val="nil"/>
              <w:bottom w:val="single" w:sz="4" w:space="0" w:color="auto"/>
              <w:right w:val="single" w:sz="4" w:space="0" w:color="auto"/>
            </w:tcBorders>
            <w:shd w:val="clear" w:color="EBF1DE" w:fill="D9D9D9"/>
            <w:noWrap/>
            <w:vAlign w:val="bottom"/>
            <w:hideMark/>
          </w:tcPr>
          <w:p w14:paraId="1672D642" w14:textId="77777777" w:rsidR="00C147B4" w:rsidRPr="00C147B4" w:rsidRDefault="00C147B4" w:rsidP="002A1A32">
            <w:pPr>
              <w:spacing w:after="0" w:line="240" w:lineRule="auto"/>
              <w:jc w:val="right"/>
              <w:rPr>
                <w:rFonts w:ascii="Calibri" w:eastAsia="Times New Roman" w:hAnsi="Calibri" w:cs="Calibri"/>
                <w:b/>
                <w:bCs/>
                <w:sz w:val="24"/>
                <w:szCs w:val="24"/>
              </w:rPr>
            </w:pPr>
            <w:r w:rsidRPr="00C147B4">
              <w:rPr>
                <w:rFonts w:ascii="Calibri" w:eastAsia="Times New Roman" w:hAnsi="Calibri" w:cs="Calibri"/>
                <w:b/>
                <w:bCs/>
                <w:sz w:val="24"/>
                <w:szCs w:val="24"/>
              </w:rPr>
              <w:t>645</w:t>
            </w:r>
          </w:p>
        </w:tc>
        <w:tc>
          <w:tcPr>
            <w:tcW w:w="992" w:type="dxa"/>
            <w:tcBorders>
              <w:top w:val="nil"/>
              <w:left w:val="nil"/>
              <w:bottom w:val="single" w:sz="4" w:space="0" w:color="auto"/>
              <w:right w:val="single" w:sz="4" w:space="0" w:color="auto"/>
            </w:tcBorders>
            <w:shd w:val="clear" w:color="000000" w:fill="D9D9D9"/>
            <w:noWrap/>
            <w:vAlign w:val="bottom"/>
            <w:hideMark/>
          </w:tcPr>
          <w:p w14:paraId="4E925C1F" w14:textId="77777777" w:rsidR="00C147B4" w:rsidRPr="00C147B4" w:rsidRDefault="00C147B4" w:rsidP="002A1A32">
            <w:pPr>
              <w:spacing w:after="0" w:line="240" w:lineRule="auto"/>
              <w:jc w:val="right"/>
              <w:rPr>
                <w:rFonts w:ascii="Calibri" w:eastAsia="Times New Roman" w:hAnsi="Calibri" w:cs="Calibri"/>
                <w:b/>
                <w:bCs/>
                <w:sz w:val="24"/>
                <w:szCs w:val="24"/>
              </w:rPr>
            </w:pPr>
            <w:r w:rsidRPr="00C147B4">
              <w:rPr>
                <w:rFonts w:ascii="Calibri" w:eastAsia="Times New Roman" w:hAnsi="Calibri" w:cs="Calibri"/>
                <w:b/>
                <w:bCs/>
                <w:sz w:val="24"/>
                <w:szCs w:val="24"/>
              </w:rPr>
              <w:t>100</w:t>
            </w:r>
          </w:p>
        </w:tc>
      </w:tr>
    </w:tbl>
    <w:p w14:paraId="6BD71938" w14:textId="77777777" w:rsidR="00C147B4" w:rsidRPr="00C147B4" w:rsidRDefault="00C147B4" w:rsidP="00C147B4">
      <w:pPr>
        <w:rPr>
          <w:rFonts w:ascii="Calibri" w:eastAsia="Times New Roman" w:hAnsi="Calibri" w:cs="Times New Roman"/>
          <w:color w:val="000000"/>
          <w:sz w:val="24"/>
          <w:szCs w:val="24"/>
        </w:rPr>
      </w:pPr>
    </w:p>
    <w:p w14:paraId="3C989E51" w14:textId="0AAEEEE9" w:rsidR="00C147B4" w:rsidRPr="00C147B4" w:rsidRDefault="002A1A32" w:rsidP="00C147B4">
      <w:pPr>
        <w:rPr>
          <w:rFonts w:ascii="Calibri" w:eastAsia="Times New Roman" w:hAnsi="Calibri" w:cs="Times New Roman"/>
          <w:b/>
          <w:color w:val="000000"/>
          <w:sz w:val="24"/>
          <w:szCs w:val="24"/>
        </w:rPr>
      </w:pPr>
      <w:r>
        <w:rPr>
          <w:rFonts w:ascii="Calibri" w:eastAsia="Times New Roman" w:hAnsi="Calibri" w:cs="Times New Roman"/>
          <w:b/>
          <w:color w:val="000000"/>
          <w:sz w:val="24"/>
          <w:szCs w:val="24"/>
        </w:rPr>
        <w:t xml:space="preserve">           </w:t>
      </w:r>
      <w:r w:rsidR="00C147B4" w:rsidRPr="00C147B4">
        <w:rPr>
          <w:rFonts w:ascii="Calibri" w:eastAsia="Times New Roman" w:hAnsi="Calibri" w:cs="Times New Roman"/>
          <w:b/>
          <w:color w:val="000000"/>
          <w:sz w:val="24"/>
          <w:szCs w:val="24"/>
        </w:rPr>
        <w:t>Upper Middle</w:t>
      </w:r>
      <w:r>
        <w:rPr>
          <w:rFonts w:ascii="Calibri" w:eastAsia="Times New Roman" w:hAnsi="Calibri" w:cs="Times New Roman"/>
          <w:b/>
          <w:color w:val="000000"/>
          <w:sz w:val="24"/>
          <w:szCs w:val="24"/>
        </w:rPr>
        <w:t xml:space="preserve"> Quartile</w:t>
      </w:r>
      <w:r>
        <w:rPr>
          <w:rFonts w:ascii="Calibri" w:eastAsia="Times New Roman" w:hAnsi="Calibri" w:cs="Times New Roman"/>
          <w:b/>
          <w:color w:val="000000"/>
          <w:sz w:val="24"/>
          <w:szCs w:val="24"/>
        </w:rPr>
        <w:tab/>
      </w:r>
      <w:r>
        <w:rPr>
          <w:rFonts w:ascii="Calibri" w:eastAsia="Times New Roman" w:hAnsi="Calibri" w:cs="Times New Roman"/>
          <w:b/>
          <w:color w:val="000000"/>
          <w:sz w:val="24"/>
          <w:szCs w:val="24"/>
        </w:rPr>
        <w:tab/>
      </w:r>
      <w:r>
        <w:rPr>
          <w:rFonts w:ascii="Calibri" w:eastAsia="Times New Roman" w:hAnsi="Calibri" w:cs="Times New Roman"/>
          <w:b/>
          <w:color w:val="000000"/>
          <w:sz w:val="24"/>
          <w:szCs w:val="24"/>
        </w:rPr>
        <w:tab/>
      </w:r>
      <w:r>
        <w:rPr>
          <w:rFonts w:ascii="Calibri" w:eastAsia="Times New Roman" w:hAnsi="Calibri" w:cs="Times New Roman"/>
          <w:b/>
          <w:color w:val="000000"/>
          <w:sz w:val="24"/>
          <w:szCs w:val="24"/>
        </w:rPr>
        <w:tab/>
      </w:r>
      <w:r>
        <w:rPr>
          <w:rFonts w:ascii="Calibri" w:eastAsia="Times New Roman" w:hAnsi="Calibri" w:cs="Times New Roman"/>
          <w:b/>
          <w:color w:val="000000"/>
          <w:sz w:val="24"/>
          <w:szCs w:val="24"/>
        </w:rPr>
        <w:tab/>
      </w:r>
      <w:r>
        <w:rPr>
          <w:rFonts w:ascii="Calibri" w:eastAsia="Times New Roman" w:hAnsi="Calibri" w:cs="Times New Roman"/>
          <w:b/>
          <w:color w:val="000000"/>
          <w:sz w:val="24"/>
          <w:szCs w:val="24"/>
        </w:rPr>
        <w:tab/>
      </w:r>
      <w:r>
        <w:rPr>
          <w:rFonts w:ascii="Calibri" w:eastAsia="Times New Roman" w:hAnsi="Calibri" w:cs="Times New Roman"/>
          <w:b/>
          <w:color w:val="000000"/>
          <w:sz w:val="24"/>
          <w:szCs w:val="24"/>
        </w:rPr>
        <w:tab/>
      </w:r>
      <w:r>
        <w:rPr>
          <w:rFonts w:ascii="Calibri" w:eastAsia="Times New Roman" w:hAnsi="Calibri" w:cs="Times New Roman"/>
          <w:b/>
          <w:color w:val="000000"/>
          <w:sz w:val="24"/>
          <w:szCs w:val="24"/>
        </w:rPr>
        <w:tab/>
      </w:r>
      <w:r>
        <w:rPr>
          <w:rFonts w:ascii="Calibri" w:eastAsia="Times New Roman" w:hAnsi="Calibri" w:cs="Times New Roman"/>
          <w:b/>
          <w:color w:val="000000"/>
          <w:sz w:val="24"/>
          <w:szCs w:val="24"/>
        </w:rPr>
        <w:tab/>
        <w:t>Upper Quartile</w:t>
      </w:r>
      <w:r w:rsidR="00C147B4" w:rsidRPr="00C147B4">
        <w:rPr>
          <w:rFonts w:ascii="Calibri" w:eastAsia="Times New Roman" w:hAnsi="Calibri" w:cs="Times New Roman"/>
          <w:b/>
          <w:color w:val="000000"/>
        </w:rPr>
        <w:t xml:space="preserve">                                                                                        </w:t>
      </w:r>
      <w:r w:rsidR="00C147B4" w:rsidRPr="00C147B4">
        <w:rPr>
          <w:rFonts w:ascii="Calibri" w:eastAsia="Times New Roman" w:hAnsi="Calibri" w:cs="Times New Roman"/>
          <w:b/>
          <w:color w:val="000000"/>
        </w:rPr>
        <w:tab/>
      </w:r>
      <w:r w:rsidR="00C147B4" w:rsidRPr="00C147B4">
        <w:rPr>
          <w:rFonts w:ascii="Calibri" w:eastAsia="Times New Roman" w:hAnsi="Calibri" w:cs="Times New Roman"/>
          <w:b/>
          <w:color w:val="000000"/>
        </w:rPr>
        <w:tab/>
      </w:r>
      <w:r w:rsidR="00C147B4" w:rsidRPr="00C147B4">
        <w:rPr>
          <w:rFonts w:ascii="Calibri" w:eastAsia="Times New Roman" w:hAnsi="Calibri" w:cs="Times New Roman"/>
          <w:b/>
          <w:color w:val="000000"/>
        </w:rPr>
        <w:tab/>
      </w:r>
    </w:p>
    <w:tbl>
      <w:tblPr>
        <w:tblW w:w="5240" w:type="dxa"/>
        <w:tblLook w:val="04A0" w:firstRow="1" w:lastRow="0" w:firstColumn="1" w:lastColumn="0" w:noHBand="0" w:noVBand="1"/>
      </w:tblPr>
      <w:tblGrid>
        <w:gridCol w:w="2821"/>
        <w:gridCol w:w="1220"/>
        <w:gridCol w:w="1199"/>
      </w:tblGrid>
      <w:tr w:rsidR="00C147B4" w:rsidRPr="00C147B4" w14:paraId="106D1DC2" w14:textId="77777777" w:rsidTr="002A1A32">
        <w:trPr>
          <w:trHeight w:hRule="exact" w:val="363"/>
        </w:trPr>
        <w:tc>
          <w:tcPr>
            <w:tcW w:w="2821"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5FE63F0"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 </w:t>
            </w:r>
          </w:p>
        </w:tc>
        <w:tc>
          <w:tcPr>
            <w:tcW w:w="1220" w:type="dxa"/>
            <w:tcBorders>
              <w:top w:val="single" w:sz="4" w:space="0" w:color="auto"/>
              <w:left w:val="nil"/>
              <w:bottom w:val="single" w:sz="4" w:space="0" w:color="auto"/>
              <w:right w:val="single" w:sz="4" w:space="0" w:color="auto"/>
            </w:tcBorders>
            <w:shd w:val="clear" w:color="auto" w:fill="D9D9D9"/>
            <w:noWrap/>
            <w:vAlign w:val="bottom"/>
            <w:hideMark/>
          </w:tcPr>
          <w:p w14:paraId="4B4CD836" w14:textId="77777777" w:rsidR="00C147B4" w:rsidRPr="00C147B4" w:rsidRDefault="00C147B4" w:rsidP="00C147B4">
            <w:pPr>
              <w:spacing w:after="0" w:line="240" w:lineRule="auto"/>
              <w:jc w:val="center"/>
              <w:rPr>
                <w:rFonts w:ascii="Calibri" w:eastAsia="Times New Roman" w:hAnsi="Calibri" w:cs="Calibri"/>
                <w:b/>
                <w:sz w:val="24"/>
                <w:szCs w:val="24"/>
              </w:rPr>
            </w:pPr>
            <w:r w:rsidRPr="00C147B4">
              <w:rPr>
                <w:rFonts w:ascii="Calibri" w:eastAsia="Times New Roman" w:hAnsi="Calibri" w:cs="Calibri"/>
                <w:b/>
                <w:sz w:val="24"/>
                <w:szCs w:val="24"/>
              </w:rPr>
              <w:t>Number</w:t>
            </w:r>
          </w:p>
        </w:tc>
        <w:tc>
          <w:tcPr>
            <w:tcW w:w="1199" w:type="dxa"/>
            <w:tcBorders>
              <w:top w:val="single" w:sz="4" w:space="0" w:color="auto"/>
              <w:left w:val="nil"/>
              <w:bottom w:val="single" w:sz="4" w:space="0" w:color="auto"/>
              <w:right w:val="single" w:sz="4" w:space="0" w:color="auto"/>
            </w:tcBorders>
            <w:shd w:val="clear" w:color="auto" w:fill="D9D9D9"/>
            <w:noWrap/>
            <w:vAlign w:val="bottom"/>
            <w:hideMark/>
          </w:tcPr>
          <w:p w14:paraId="5E0F6A47" w14:textId="77777777" w:rsidR="00C147B4" w:rsidRPr="00C147B4" w:rsidRDefault="00C147B4" w:rsidP="00C147B4">
            <w:pPr>
              <w:spacing w:after="0" w:line="240" w:lineRule="auto"/>
              <w:jc w:val="center"/>
              <w:rPr>
                <w:rFonts w:ascii="Calibri" w:eastAsia="Times New Roman" w:hAnsi="Calibri" w:cs="Calibri"/>
                <w:b/>
                <w:sz w:val="24"/>
                <w:szCs w:val="24"/>
              </w:rPr>
            </w:pPr>
            <w:r w:rsidRPr="00C147B4">
              <w:rPr>
                <w:rFonts w:ascii="Calibri" w:eastAsia="Times New Roman" w:hAnsi="Calibri" w:cs="Calibri"/>
                <w:b/>
                <w:sz w:val="24"/>
                <w:szCs w:val="24"/>
              </w:rPr>
              <w:t>%</w:t>
            </w:r>
          </w:p>
        </w:tc>
      </w:tr>
      <w:tr w:rsidR="00C147B4" w:rsidRPr="00C147B4" w14:paraId="41FD624B" w14:textId="77777777" w:rsidTr="002A1A32">
        <w:trPr>
          <w:trHeight w:hRule="exact" w:val="363"/>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451B4789"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Female</w:t>
            </w:r>
          </w:p>
        </w:tc>
        <w:tc>
          <w:tcPr>
            <w:tcW w:w="1220" w:type="dxa"/>
            <w:tcBorders>
              <w:top w:val="nil"/>
              <w:left w:val="nil"/>
              <w:bottom w:val="single" w:sz="4" w:space="0" w:color="auto"/>
              <w:right w:val="single" w:sz="4" w:space="0" w:color="auto"/>
            </w:tcBorders>
            <w:shd w:val="clear" w:color="auto" w:fill="auto"/>
            <w:noWrap/>
            <w:vAlign w:val="bottom"/>
          </w:tcPr>
          <w:p w14:paraId="4294251E"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464</w:t>
            </w:r>
          </w:p>
        </w:tc>
        <w:tc>
          <w:tcPr>
            <w:tcW w:w="1199" w:type="dxa"/>
            <w:tcBorders>
              <w:top w:val="nil"/>
              <w:left w:val="nil"/>
              <w:bottom w:val="single" w:sz="4" w:space="0" w:color="auto"/>
              <w:right w:val="single" w:sz="4" w:space="0" w:color="auto"/>
            </w:tcBorders>
            <w:shd w:val="clear" w:color="auto" w:fill="auto"/>
            <w:noWrap/>
            <w:vAlign w:val="bottom"/>
          </w:tcPr>
          <w:p w14:paraId="4860BB47"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72</w:t>
            </w:r>
          </w:p>
        </w:tc>
      </w:tr>
      <w:tr w:rsidR="00C147B4" w:rsidRPr="00C147B4" w14:paraId="797B1408" w14:textId="77777777" w:rsidTr="002A1A32">
        <w:trPr>
          <w:trHeight w:hRule="exact" w:val="363"/>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30B0A65F"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Male</w:t>
            </w:r>
          </w:p>
        </w:tc>
        <w:tc>
          <w:tcPr>
            <w:tcW w:w="1220" w:type="dxa"/>
            <w:tcBorders>
              <w:top w:val="nil"/>
              <w:left w:val="nil"/>
              <w:bottom w:val="single" w:sz="4" w:space="0" w:color="auto"/>
              <w:right w:val="single" w:sz="4" w:space="0" w:color="auto"/>
            </w:tcBorders>
            <w:shd w:val="clear" w:color="auto" w:fill="auto"/>
            <w:noWrap/>
            <w:vAlign w:val="bottom"/>
          </w:tcPr>
          <w:p w14:paraId="03EB5D29"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182</w:t>
            </w:r>
          </w:p>
        </w:tc>
        <w:tc>
          <w:tcPr>
            <w:tcW w:w="1199" w:type="dxa"/>
            <w:tcBorders>
              <w:top w:val="nil"/>
              <w:left w:val="nil"/>
              <w:bottom w:val="single" w:sz="4" w:space="0" w:color="auto"/>
              <w:right w:val="single" w:sz="4" w:space="0" w:color="auto"/>
            </w:tcBorders>
            <w:shd w:val="clear" w:color="auto" w:fill="auto"/>
            <w:noWrap/>
            <w:vAlign w:val="bottom"/>
          </w:tcPr>
          <w:p w14:paraId="7761AEC8"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28</w:t>
            </w:r>
          </w:p>
        </w:tc>
      </w:tr>
      <w:tr w:rsidR="00C147B4" w:rsidRPr="00C147B4" w14:paraId="73E5B74D" w14:textId="77777777" w:rsidTr="002A1A32">
        <w:trPr>
          <w:trHeight w:hRule="exact" w:val="363"/>
        </w:trPr>
        <w:tc>
          <w:tcPr>
            <w:tcW w:w="2821" w:type="dxa"/>
            <w:tcBorders>
              <w:top w:val="nil"/>
              <w:left w:val="single" w:sz="4" w:space="0" w:color="auto"/>
              <w:bottom w:val="single" w:sz="4" w:space="0" w:color="auto"/>
              <w:right w:val="single" w:sz="4" w:space="0" w:color="auto"/>
            </w:tcBorders>
            <w:shd w:val="clear" w:color="auto" w:fill="D9D9D9"/>
            <w:noWrap/>
            <w:vAlign w:val="bottom"/>
            <w:hideMark/>
          </w:tcPr>
          <w:p w14:paraId="01BC6DF9" w14:textId="77777777" w:rsidR="00C147B4" w:rsidRPr="00C147B4" w:rsidRDefault="00C147B4" w:rsidP="00C147B4">
            <w:pPr>
              <w:spacing w:after="0" w:line="240" w:lineRule="auto"/>
              <w:rPr>
                <w:rFonts w:ascii="Calibri" w:eastAsia="Times New Roman" w:hAnsi="Calibri" w:cs="Calibri"/>
                <w:b/>
                <w:bCs/>
                <w:color w:val="000000"/>
                <w:sz w:val="24"/>
                <w:szCs w:val="24"/>
              </w:rPr>
            </w:pPr>
            <w:r w:rsidRPr="00C147B4">
              <w:rPr>
                <w:rFonts w:ascii="Calibri" w:eastAsia="Times New Roman" w:hAnsi="Calibri" w:cs="Calibri"/>
                <w:b/>
                <w:bCs/>
                <w:color w:val="000000"/>
                <w:sz w:val="24"/>
                <w:szCs w:val="24"/>
              </w:rPr>
              <w:t>Grand Total</w:t>
            </w:r>
          </w:p>
        </w:tc>
        <w:tc>
          <w:tcPr>
            <w:tcW w:w="1220" w:type="dxa"/>
            <w:tcBorders>
              <w:top w:val="nil"/>
              <w:left w:val="nil"/>
              <w:bottom w:val="single" w:sz="4" w:space="0" w:color="auto"/>
              <w:right w:val="single" w:sz="4" w:space="0" w:color="auto"/>
            </w:tcBorders>
            <w:shd w:val="clear" w:color="auto" w:fill="D9D9D9"/>
            <w:noWrap/>
            <w:vAlign w:val="bottom"/>
          </w:tcPr>
          <w:p w14:paraId="34D38EB3" w14:textId="5CD4FE2A" w:rsidR="00C147B4" w:rsidRPr="00C147B4" w:rsidRDefault="002A1A32" w:rsidP="00C147B4">
            <w:pPr>
              <w:spacing w:after="0" w:line="240" w:lineRule="auto"/>
              <w:jc w:val="right"/>
              <w:rPr>
                <w:rFonts w:ascii="Calibri" w:eastAsia="Times New Roman" w:hAnsi="Calibri" w:cs="Calibri"/>
                <w:b/>
                <w:bCs/>
                <w:color w:val="000000"/>
                <w:sz w:val="24"/>
                <w:szCs w:val="24"/>
              </w:rPr>
            </w:pPr>
            <w:r>
              <w:rPr>
                <w:rFonts w:ascii="Calibri" w:eastAsia="Times New Roman" w:hAnsi="Calibri" w:cs="Calibri"/>
                <w:b/>
                <w:bCs/>
                <w:color w:val="000000"/>
                <w:sz w:val="24"/>
                <w:szCs w:val="24"/>
              </w:rPr>
              <w:t>646</w:t>
            </w:r>
          </w:p>
        </w:tc>
        <w:tc>
          <w:tcPr>
            <w:tcW w:w="1199" w:type="dxa"/>
            <w:tcBorders>
              <w:top w:val="nil"/>
              <w:left w:val="nil"/>
              <w:bottom w:val="single" w:sz="4" w:space="0" w:color="auto"/>
              <w:right w:val="single" w:sz="4" w:space="0" w:color="auto"/>
            </w:tcBorders>
            <w:shd w:val="clear" w:color="auto" w:fill="D9D9D9"/>
            <w:noWrap/>
            <w:vAlign w:val="bottom"/>
          </w:tcPr>
          <w:p w14:paraId="33162712" w14:textId="77777777" w:rsidR="00C147B4" w:rsidRPr="00C147B4" w:rsidRDefault="00C147B4" w:rsidP="00C147B4">
            <w:pPr>
              <w:spacing w:after="0" w:line="240" w:lineRule="auto"/>
              <w:jc w:val="right"/>
              <w:rPr>
                <w:rFonts w:ascii="Calibri" w:eastAsia="Times New Roman" w:hAnsi="Calibri" w:cs="Calibri"/>
                <w:b/>
                <w:sz w:val="24"/>
                <w:szCs w:val="24"/>
              </w:rPr>
            </w:pPr>
            <w:r w:rsidRPr="00C147B4">
              <w:rPr>
                <w:rFonts w:ascii="Calibri" w:eastAsia="Times New Roman" w:hAnsi="Calibri" w:cs="Calibri"/>
                <w:b/>
                <w:sz w:val="24"/>
                <w:szCs w:val="24"/>
              </w:rPr>
              <w:t>100</w:t>
            </w:r>
          </w:p>
        </w:tc>
      </w:tr>
    </w:tbl>
    <w:tbl>
      <w:tblPr>
        <w:tblpPr w:leftFromText="180" w:rightFromText="180" w:vertAnchor="text" w:horzAnchor="page" w:tblpX="8821" w:tblpY="-1471"/>
        <w:tblW w:w="5373" w:type="dxa"/>
        <w:tblLook w:val="04A0" w:firstRow="1" w:lastRow="0" w:firstColumn="1" w:lastColumn="0" w:noHBand="0" w:noVBand="1"/>
      </w:tblPr>
      <w:tblGrid>
        <w:gridCol w:w="2985"/>
        <w:gridCol w:w="1290"/>
        <w:gridCol w:w="1098"/>
      </w:tblGrid>
      <w:tr w:rsidR="002A1A32" w:rsidRPr="00C147B4" w14:paraId="625AFDB2" w14:textId="77777777" w:rsidTr="002A1A32">
        <w:trPr>
          <w:trHeight w:hRule="exact" w:val="363"/>
        </w:trPr>
        <w:tc>
          <w:tcPr>
            <w:tcW w:w="298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90FDF73" w14:textId="77777777" w:rsidR="002A1A32" w:rsidRPr="00C147B4" w:rsidRDefault="002A1A32" w:rsidP="002A1A32">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 </w:t>
            </w:r>
          </w:p>
        </w:tc>
        <w:tc>
          <w:tcPr>
            <w:tcW w:w="1290" w:type="dxa"/>
            <w:tcBorders>
              <w:top w:val="single" w:sz="4" w:space="0" w:color="auto"/>
              <w:left w:val="nil"/>
              <w:bottom w:val="single" w:sz="4" w:space="0" w:color="auto"/>
              <w:right w:val="single" w:sz="4" w:space="0" w:color="auto"/>
            </w:tcBorders>
            <w:shd w:val="clear" w:color="auto" w:fill="D9D9D9"/>
            <w:noWrap/>
            <w:vAlign w:val="bottom"/>
            <w:hideMark/>
          </w:tcPr>
          <w:p w14:paraId="30FC00CA" w14:textId="77777777" w:rsidR="002A1A32" w:rsidRPr="00C147B4" w:rsidRDefault="002A1A32" w:rsidP="002A1A32">
            <w:pPr>
              <w:spacing w:after="0" w:line="240" w:lineRule="auto"/>
              <w:jc w:val="center"/>
              <w:rPr>
                <w:rFonts w:ascii="Calibri" w:eastAsia="Times New Roman" w:hAnsi="Calibri" w:cs="Calibri"/>
                <w:b/>
                <w:sz w:val="24"/>
                <w:szCs w:val="24"/>
              </w:rPr>
            </w:pPr>
            <w:r w:rsidRPr="00C147B4">
              <w:rPr>
                <w:rFonts w:ascii="Calibri" w:eastAsia="Times New Roman" w:hAnsi="Calibri" w:cs="Calibri"/>
                <w:b/>
                <w:sz w:val="24"/>
                <w:szCs w:val="24"/>
              </w:rPr>
              <w:t>Number</w:t>
            </w:r>
          </w:p>
        </w:tc>
        <w:tc>
          <w:tcPr>
            <w:tcW w:w="1098" w:type="dxa"/>
            <w:tcBorders>
              <w:top w:val="single" w:sz="4" w:space="0" w:color="auto"/>
              <w:left w:val="nil"/>
              <w:bottom w:val="single" w:sz="4" w:space="0" w:color="auto"/>
              <w:right w:val="single" w:sz="4" w:space="0" w:color="auto"/>
            </w:tcBorders>
            <w:shd w:val="clear" w:color="auto" w:fill="D9D9D9"/>
            <w:noWrap/>
            <w:vAlign w:val="bottom"/>
            <w:hideMark/>
          </w:tcPr>
          <w:p w14:paraId="4EB72032" w14:textId="77777777" w:rsidR="002A1A32" w:rsidRPr="00C147B4" w:rsidRDefault="002A1A32" w:rsidP="002A1A32">
            <w:pPr>
              <w:spacing w:after="0" w:line="240" w:lineRule="auto"/>
              <w:jc w:val="center"/>
              <w:rPr>
                <w:rFonts w:ascii="Calibri" w:eastAsia="Times New Roman" w:hAnsi="Calibri" w:cs="Calibri"/>
                <w:b/>
                <w:sz w:val="24"/>
                <w:szCs w:val="24"/>
              </w:rPr>
            </w:pPr>
            <w:r w:rsidRPr="00C147B4">
              <w:rPr>
                <w:rFonts w:ascii="Calibri" w:eastAsia="Times New Roman" w:hAnsi="Calibri" w:cs="Calibri"/>
                <w:b/>
                <w:sz w:val="24"/>
                <w:szCs w:val="24"/>
              </w:rPr>
              <w:t>%</w:t>
            </w:r>
          </w:p>
        </w:tc>
      </w:tr>
      <w:tr w:rsidR="002A1A32" w:rsidRPr="00C147B4" w14:paraId="16C11E90" w14:textId="77777777" w:rsidTr="002A1A32">
        <w:trPr>
          <w:trHeight w:hRule="exac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57C38635" w14:textId="77777777" w:rsidR="002A1A32" w:rsidRPr="00C147B4" w:rsidRDefault="002A1A32" w:rsidP="002A1A32">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Female</w:t>
            </w:r>
          </w:p>
        </w:tc>
        <w:tc>
          <w:tcPr>
            <w:tcW w:w="1290" w:type="dxa"/>
            <w:tcBorders>
              <w:top w:val="nil"/>
              <w:left w:val="nil"/>
              <w:bottom w:val="single" w:sz="4" w:space="0" w:color="auto"/>
              <w:right w:val="single" w:sz="4" w:space="0" w:color="auto"/>
            </w:tcBorders>
            <w:shd w:val="clear" w:color="auto" w:fill="auto"/>
            <w:noWrap/>
            <w:vAlign w:val="bottom"/>
          </w:tcPr>
          <w:p w14:paraId="0300725A" w14:textId="77777777" w:rsidR="002A1A32" w:rsidRPr="00C147B4" w:rsidRDefault="002A1A32" w:rsidP="002A1A32">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419</w:t>
            </w:r>
          </w:p>
        </w:tc>
        <w:tc>
          <w:tcPr>
            <w:tcW w:w="1098" w:type="dxa"/>
            <w:tcBorders>
              <w:top w:val="nil"/>
              <w:left w:val="nil"/>
              <w:bottom w:val="single" w:sz="4" w:space="0" w:color="auto"/>
              <w:right w:val="single" w:sz="4" w:space="0" w:color="auto"/>
            </w:tcBorders>
            <w:shd w:val="clear" w:color="auto" w:fill="auto"/>
            <w:noWrap/>
            <w:vAlign w:val="bottom"/>
          </w:tcPr>
          <w:p w14:paraId="432FAB08" w14:textId="77777777" w:rsidR="002A1A32" w:rsidRPr="00C147B4" w:rsidRDefault="002A1A32" w:rsidP="002A1A32">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65</w:t>
            </w:r>
          </w:p>
        </w:tc>
      </w:tr>
      <w:tr w:rsidR="002A1A32" w:rsidRPr="00C147B4" w14:paraId="11F2FBF1" w14:textId="77777777" w:rsidTr="002A1A32">
        <w:trPr>
          <w:trHeight w:hRule="exact" w:val="363"/>
        </w:trPr>
        <w:tc>
          <w:tcPr>
            <w:tcW w:w="2985" w:type="dxa"/>
            <w:tcBorders>
              <w:top w:val="nil"/>
              <w:left w:val="single" w:sz="4" w:space="0" w:color="auto"/>
              <w:bottom w:val="single" w:sz="4" w:space="0" w:color="auto"/>
              <w:right w:val="single" w:sz="4" w:space="0" w:color="auto"/>
            </w:tcBorders>
            <w:shd w:val="clear" w:color="auto" w:fill="auto"/>
            <w:noWrap/>
            <w:vAlign w:val="bottom"/>
            <w:hideMark/>
          </w:tcPr>
          <w:p w14:paraId="09BE3DD4" w14:textId="77777777" w:rsidR="002A1A32" w:rsidRPr="00C147B4" w:rsidRDefault="002A1A32" w:rsidP="002A1A32">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Male</w:t>
            </w:r>
          </w:p>
        </w:tc>
        <w:tc>
          <w:tcPr>
            <w:tcW w:w="1290" w:type="dxa"/>
            <w:tcBorders>
              <w:top w:val="nil"/>
              <w:left w:val="nil"/>
              <w:bottom w:val="single" w:sz="4" w:space="0" w:color="auto"/>
              <w:right w:val="single" w:sz="4" w:space="0" w:color="auto"/>
            </w:tcBorders>
            <w:shd w:val="clear" w:color="auto" w:fill="auto"/>
            <w:noWrap/>
            <w:vAlign w:val="bottom"/>
          </w:tcPr>
          <w:p w14:paraId="62569461" w14:textId="77777777" w:rsidR="002A1A32" w:rsidRPr="00C147B4" w:rsidRDefault="002A1A32" w:rsidP="002A1A32">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226</w:t>
            </w:r>
          </w:p>
        </w:tc>
        <w:tc>
          <w:tcPr>
            <w:tcW w:w="1098" w:type="dxa"/>
            <w:tcBorders>
              <w:top w:val="nil"/>
              <w:left w:val="nil"/>
              <w:bottom w:val="single" w:sz="4" w:space="0" w:color="auto"/>
              <w:right w:val="single" w:sz="4" w:space="0" w:color="auto"/>
            </w:tcBorders>
            <w:shd w:val="clear" w:color="auto" w:fill="auto"/>
            <w:noWrap/>
            <w:vAlign w:val="bottom"/>
          </w:tcPr>
          <w:p w14:paraId="2E872714" w14:textId="77777777" w:rsidR="002A1A32" w:rsidRPr="00C147B4" w:rsidRDefault="002A1A32" w:rsidP="002A1A32">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35</w:t>
            </w:r>
          </w:p>
        </w:tc>
      </w:tr>
      <w:tr w:rsidR="002A1A32" w:rsidRPr="00C147B4" w14:paraId="54C5D298" w14:textId="77777777" w:rsidTr="002A1A32">
        <w:trPr>
          <w:trHeight w:hRule="exact" w:val="363"/>
        </w:trPr>
        <w:tc>
          <w:tcPr>
            <w:tcW w:w="2985" w:type="dxa"/>
            <w:tcBorders>
              <w:top w:val="nil"/>
              <w:left w:val="single" w:sz="4" w:space="0" w:color="auto"/>
              <w:bottom w:val="single" w:sz="4" w:space="0" w:color="auto"/>
              <w:right w:val="single" w:sz="4" w:space="0" w:color="auto"/>
            </w:tcBorders>
            <w:shd w:val="clear" w:color="auto" w:fill="D9D9D9"/>
            <w:noWrap/>
            <w:vAlign w:val="bottom"/>
            <w:hideMark/>
          </w:tcPr>
          <w:p w14:paraId="31B7FF94" w14:textId="77777777" w:rsidR="002A1A32" w:rsidRPr="00C147B4" w:rsidRDefault="002A1A32" w:rsidP="002A1A32">
            <w:pPr>
              <w:spacing w:after="0" w:line="240" w:lineRule="auto"/>
              <w:rPr>
                <w:rFonts w:ascii="Calibri" w:eastAsia="Times New Roman" w:hAnsi="Calibri" w:cs="Calibri"/>
                <w:b/>
                <w:bCs/>
                <w:sz w:val="24"/>
                <w:szCs w:val="24"/>
              </w:rPr>
            </w:pPr>
            <w:r w:rsidRPr="00C147B4">
              <w:rPr>
                <w:rFonts w:ascii="Calibri" w:eastAsia="Times New Roman" w:hAnsi="Calibri" w:cs="Calibri"/>
                <w:b/>
                <w:bCs/>
                <w:sz w:val="24"/>
                <w:szCs w:val="24"/>
              </w:rPr>
              <w:t>Grand Total</w:t>
            </w:r>
          </w:p>
        </w:tc>
        <w:tc>
          <w:tcPr>
            <w:tcW w:w="1290" w:type="dxa"/>
            <w:tcBorders>
              <w:top w:val="nil"/>
              <w:left w:val="nil"/>
              <w:bottom w:val="single" w:sz="4" w:space="0" w:color="auto"/>
              <w:right w:val="single" w:sz="4" w:space="0" w:color="auto"/>
            </w:tcBorders>
            <w:shd w:val="clear" w:color="auto" w:fill="D9D9D9"/>
            <w:noWrap/>
            <w:vAlign w:val="bottom"/>
          </w:tcPr>
          <w:p w14:paraId="7AD49EFD" w14:textId="5BD57367" w:rsidR="002A1A32" w:rsidRPr="00C147B4" w:rsidRDefault="002A1A32" w:rsidP="002A1A32">
            <w:pPr>
              <w:spacing w:after="0" w:line="240" w:lineRule="auto"/>
              <w:jc w:val="right"/>
              <w:rPr>
                <w:rFonts w:ascii="Calibri" w:eastAsia="Times New Roman" w:hAnsi="Calibri" w:cs="Calibri"/>
                <w:b/>
                <w:bCs/>
                <w:sz w:val="24"/>
                <w:szCs w:val="24"/>
              </w:rPr>
            </w:pPr>
            <w:r>
              <w:rPr>
                <w:rFonts w:ascii="Calibri" w:eastAsia="Times New Roman" w:hAnsi="Calibri" w:cs="Calibri"/>
                <w:b/>
                <w:bCs/>
                <w:sz w:val="24"/>
                <w:szCs w:val="24"/>
              </w:rPr>
              <w:t>645</w:t>
            </w:r>
          </w:p>
        </w:tc>
        <w:tc>
          <w:tcPr>
            <w:tcW w:w="1098" w:type="dxa"/>
            <w:tcBorders>
              <w:top w:val="nil"/>
              <w:left w:val="nil"/>
              <w:bottom w:val="single" w:sz="4" w:space="0" w:color="auto"/>
              <w:right w:val="single" w:sz="4" w:space="0" w:color="auto"/>
            </w:tcBorders>
            <w:shd w:val="clear" w:color="auto" w:fill="D9D9D9"/>
            <w:noWrap/>
            <w:vAlign w:val="bottom"/>
          </w:tcPr>
          <w:p w14:paraId="49E44207" w14:textId="77777777" w:rsidR="002A1A32" w:rsidRPr="00C147B4" w:rsidRDefault="002A1A32" w:rsidP="002A1A32">
            <w:pPr>
              <w:spacing w:after="0" w:line="240" w:lineRule="auto"/>
              <w:jc w:val="right"/>
              <w:rPr>
                <w:rFonts w:ascii="Calibri" w:eastAsia="Times New Roman" w:hAnsi="Calibri" w:cs="Calibri"/>
                <w:b/>
                <w:sz w:val="24"/>
                <w:szCs w:val="24"/>
              </w:rPr>
            </w:pPr>
            <w:r w:rsidRPr="00C147B4">
              <w:rPr>
                <w:rFonts w:ascii="Calibri" w:eastAsia="Times New Roman" w:hAnsi="Calibri" w:cs="Calibri"/>
                <w:b/>
                <w:sz w:val="24"/>
                <w:szCs w:val="24"/>
              </w:rPr>
              <w:t>100</w:t>
            </w:r>
          </w:p>
        </w:tc>
      </w:tr>
    </w:tbl>
    <w:p w14:paraId="62AD199F" w14:textId="77777777" w:rsidR="00C147B4" w:rsidRPr="00C147B4" w:rsidRDefault="00C147B4" w:rsidP="00C147B4">
      <w:pPr>
        <w:rPr>
          <w:rFonts w:ascii="Calibri" w:eastAsia="Times New Roman" w:hAnsi="Calibri" w:cs="Times New Roman"/>
          <w:color w:val="000000"/>
        </w:rPr>
      </w:pPr>
    </w:p>
    <w:p w14:paraId="25BCD855" w14:textId="77777777"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The data shows there are substantially more female employees in the lower quartiles than male employees.  22% of the Council’s female employees are in the upper quartile pay band; whereas 33% of the Council’s male employees are in the upper quartile pay band.</w:t>
      </w:r>
    </w:p>
    <w:p w14:paraId="58C3FA1D" w14:textId="77777777" w:rsidR="00C147B4" w:rsidRPr="00C147B4" w:rsidRDefault="00C147B4" w:rsidP="00C147B4">
      <w:pPr>
        <w:rPr>
          <w:rFonts w:ascii="Calibri" w:eastAsia="Times New Roman" w:hAnsi="Calibri" w:cs="Times New Roman"/>
          <w:b/>
          <w:color w:val="365F91"/>
          <w:sz w:val="28"/>
          <w:szCs w:val="28"/>
        </w:rPr>
      </w:pPr>
    </w:p>
    <w:p w14:paraId="715EFE14" w14:textId="77777777"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Ethnicity  </w:t>
      </w:r>
    </w:p>
    <w:p w14:paraId="64463369" w14:textId="77777777" w:rsidR="00C147B4" w:rsidRPr="00C147B4" w:rsidRDefault="00C147B4" w:rsidP="00C147B4">
      <w:pPr>
        <w:rPr>
          <w:rFonts w:ascii="Calibri" w:eastAsia="Times New Roman" w:hAnsi="Calibri" w:cs="Arial"/>
          <w:color w:val="E36C0A"/>
          <w:sz w:val="24"/>
          <w:szCs w:val="24"/>
        </w:rPr>
      </w:pPr>
      <w:r w:rsidRPr="00C147B4">
        <w:rPr>
          <w:rFonts w:ascii="Calibri" w:eastAsia="Times New Roman" w:hAnsi="Calibri" w:cs="Arial"/>
          <w:sz w:val="24"/>
          <w:szCs w:val="24"/>
        </w:rPr>
        <w:t>In terms of race, 80% of the workforce has completed an ethnic monitoring questionnaire.  1.6% of staff, employed by the council, are from a Black and Minority Ethnic (BME) background.   This is less than the 2.57% of Knowsley residents that are of working age</w:t>
      </w:r>
      <w:r w:rsidRPr="00C147B4">
        <w:rPr>
          <w:rFonts w:ascii="Calibri" w:eastAsia="Times New Roman" w:hAnsi="Calibri" w:cs="Arial"/>
          <w:sz w:val="24"/>
          <w:szCs w:val="24"/>
          <w:vertAlign w:val="superscript"/>
        </w:rPr>
        <w:footnoteReference w:id="4"/>
      </w:r>
      <w:r w:rsidRPr="00C147B4">
        <w:rPr>
          <w:rFonts w:ascii="Calibri" w:eastAsia="Times New Roman" w:hAnsi="Calibri" w:cs="Arial"/>
          <w:sz w:val="24"/>
          <w:szCs w:val="24"/>
        </w:rPr>
        <w:t xml:space="preserve">. In order to be reflective of the local population the council would need to employ another 22 people from a BME background. </w:t>
      </w:r>
    </w:p>
    <w:p w14:paraId="742F1D95" w14:textId="77777777" w:rsidR="00C147B4" w:rsidRPr="00C147B4" w:rsidRDefault="00C147B4" w:rsidP="00C147B4">
      <w:pPr>
        <w:spacing w:before="240"/>
        <w:rPr>
          <w:rFonts w:ascii="Calibri" w:eastAsia="Times New Roman" w:hAnsi="Calibri" w:cs="Times New Roman"/>
          <w:b/>
        </w:rPr>
      </w:pPr>
      <w:r w:rsidRPr="00C147B4">
        <w:rPr>
          <w:rFonts w:ascii="Calibri" w:eastAsia="Times New Roman" w:hAnsi="Calibri" w:cs="Times New Roman"/>
          <w:b/>
        </w:rPr>
        <w:t>Number of council staff by ethnicity:</w:t>
      </w:r>
    </w:p>
    <w:p w14:paraId="4E8EC02F" w14:textId="77777777" w:rsidR="00C147B4" w:rsidRPr="00C147B4" w:rsidRDefault="00C147B4" w:rsidP="00C147B4">
      <w:pPr>
        <w:spacing w:before="240"/>
        <w:ind w:firstLine="426"/>
        <w:rPr>
          <w:rFonts w:ascii="Calibri" w:eastAsia="Times New Roman" w:hAnsi="Calibri" w:cs="Times New Roman"/>
          <w:b/>
        </w:rPr>
      </w:pPr>
    </w:p>
    <w:tbl>
      <w:tblPr>
        <w:tblpPr w:leftFromText="180" w:rightFromText="180" w:vertAnchor="text" w:horzAnchor="page" w:tblpX="10741" w:tblpY="1390"/>
        <w:tblW w:w="3860" w:type="dxa"/>
        <w:tblLook w:val="04A0" w:firstRow="1" w:lastRow="0" w:firstColumn="1" w:lastColumn="0" w:noHBand="0" w:noVBand="1"/>
      </w:tblPr>
      <w:tblGrid>
        <w:gridCol w:w="1680"/>
        <w:gridCol w:w="1020"/>
        <w:gridCol w:w="1160"/>
      </w:tblGrid>
      <w:tr w:rsidR="00C147B4" w:rsidRPr="00C147B4" w14:paraId="7F5591F4" w14:textId="77777777" w:rsidTr="002A1A32">
        <w:trPr>
          <w:trHeight w:val="260"/>
        </w:trPr>
        <w:tc>
          <w:tcPr>
            <w:tcW w:w="1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6FAA02"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 xml:space="preserve">Ethnicity </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14:paraId="37D9EDE3"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No.</w:t>
            </w:r>
          </w:p>
        </w:tc>
        <w:tc>
          <w:tcPr>
            <w:tcW w:w="1160" w:type="dxa"/>
            <w:tcBorders>
              <w:top w:val="single" w:sz="4" w:space="0" w:color="auto"/>
              <w:left w:val="nil"/>
              <w:bottom w:val="single" w:sz="4" w:space="0" w:color="auto"/>
              <w:right w:val="single" w:sz="4" w:space="0" w:color="auto"/>
            </w:tcBorders>
            <w:shd w:val="clear" w:color="000000" w:fill="FFFFFF"/>
            <w:noWrap/>
            <w:vAlign w:val="bottom"/>
            <w:hideMark/>
          </w:tcPr>
          <w:p w14:paraId="3E87EB2A"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w:t>
            </w:r>
          </w:p>
        </w:tc>
      </w:tr>
      <w:tr w:rsidR="00C147B4" w:rsidRPr="00C147B4" w14:paraId="1D6D4344" w14:textId="77777777" w:rsidTr="002A1A32">
        <w:trPr>
          <w:trHeight w:val="25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0CD4CD5"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BME</w:t>
            </w:r>
          </w:p>
        </w:tc>
        <w:tc>
          <w:tcPr>
            <w:tcW w:w="1020" w:type="dxa"/>
            <w:tcBorders>
              <w:top w:val="nil"/>
              <w:left w:val="nil"/>
              <w:bottom w:val="single" w:sz="4" w:space="0" w:color="auto"/>
              <w:right w:val="single" w:sz="4" w:space="0" w:color="auto"/>
            </w:tcBorders>
            <w:shd w:val="clear" w:color="auto" w:fill="auto"/>
            <w:noWrap/>
            <w:vAlign w:val="bottom"/>
            <w:hideMark/>
          </w:tcPr>
          <w:p w14:paraId="2F093F5A"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36</w:t>
            </w:r>
          </w:p>
        </w:tc>
        <w:tc>
          <w:tcPr>
            <w:tcW w:w="1160" w:type="dxa"/>
            <w:tcBorders>
              <w:top w:val="nil"/>
              <w:left w:val="nil"/>
              <w:bottom w:val="single" w:sz="4" w:space="0" w:color="auto"/>
              <w:right w:val="single" w:sz="4" w:space="0" w:color="auto"/>
            </w:tcBorders>
            <w:shd w:val="clear" w:color="000000" w:fill="FFFFFF"/>
            <w:noWrap/>
            <w:vAlign w:val="bottom"/>
            <w:hideMark/>
          </w:tcPr>
          <w:p w14:paraId="10D02D79"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1.6</w:t>
            </w:r>
          </w:p>
        </w:tc>
      </w:tr>
      <w:tr w:rsidR="00C147B4" w:rsidRPr="00C147B4" w14:paraId="342FC0E7" w14:textId="77777777" w:rsidTr="002A1A32">
        <w:trPr>
          <w:trHeight w:val="25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3BA460C"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 xml:space="preserve">Prefer not to Say </w:t>
            </w:r>
          </w:p>
        </w:tc>
        <w:tc>
          <w:tcPr>
            <w:tcW w:w="1020" w:type="dxa"/>
            <w:tcBorders>
              <w:top w:val="nil"/>
              <w:left w:val="nil"/>
              <w:bottom w:val="single" w:sz="4" w:space="0" w:color="auto"/>
              <w:right w:val="single" w:sz="4" w:space="0" w:color="auto"/>
            </w:tcBorders>
            <w:shd w:val="clear" w:color="auto" w:fill="auto"/>
            <w:noWrap/>
            <w:vAlign w:val="bottom"/>
            <w:hideMark/>
          </w:tcPr>
          <w:p w14:paraId="1C1DF2A2"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20</w:t>
            </w:r>
          </w:p>
        </w:tc>
        <w:tc>
          <w:tcPr>
            <w:tcW w:w="1160" w:type="dxa"/>
            <w:tcBorders>
              <w:top w:val="nil"/>
              <w:left w:val="nil"/>
              <w:bottom w:val="single" w:sz="4" w:space="0" w:color="auto"/>
              <w:right w:val="single" w:sz="4" w:space="0" w:color="auto"/>
            </w:tcBorders>
            <w:shd w:val="clear" w:color="000000" w:fill="FFFFFF"/>
            <w:noWrap/>
            <w:vAlign w:val="bottom"/>
            <w:hideMark/>
          </w:tcPr>
          <w:p w14:paraId="43F1F423"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0.9</w:t>
            </w:r>
          </w:p>
        </w:tc>
      </w:tr>
      <w:tr w:rsidR="00C147B4" w:rsidRPr="00C147B4" w14:paraId="195B2C2F" w14:textId="77777777" w:rsidTr="002A1A32">
        <w:trPr>
          <w:trHeight w:val="250"/>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7081DC2"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White British</w:t>
            </w:r>
          </w:p>
        </w:tc>
        <w:tc>
          <w:tcPr>
            <w:tcW w:w="1020" w:type="dxa"/>
            <w:tcBorders>
              <w:top w:val="nil"/>
              <w:left w:val="nil"/>
              <w:bottom w:val="single" w:sz="4" w:space="0" w:color="auto"/>
              <w:right w:val="single" w:sz="4" w:space="0" w:color="auto"/>
            </w:tcBorders>
            <w:shd w:val="clear" w:color="auto" w:fill="auto"/>
            <w:noWrap/>
            <w:vAlign w:val="bottom"/>
            <w:hideMark/>
          </w:tcPr>
          <w:p w14:paraId="7D6A6C05"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2195</w:t>
            </w:r>
          </w:p>
        </w:tc>
        <w:tc>
          <w:tcPr>
            <w:tcW w:w="1160" w:type="dxa"/>
            <w:tcBorders>
              <w:top w:val="nil"/>
              <w:left w:val="nil"/>
              <w:bottom w:val="single" w:sz="4" w:space="0" w:color="auto"/>
              <w:right w:val="single" w:sz="4" w:space="0" w:color="auto"/>
            </w:tcBorders>
            <w:shd w:val="clear" w:color="000000" w:fill="FFFFFF"/>
            <w:noWrap/>
            <w:vAlign w:val="bottom"/>
            <w:hideMark/>
          </w:tcPr>
          <w:p w14:paraId="76BF0622"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97.5</w:t>
            </w:r>
          </w:p>
        </w:tc>
      </w:tr>
      <w:tr w:rsidR="00C147B4" w:rsidRPr="00C147B4" w14:paraId="5C2038F1" w14:textId="77777777" w:rsidTr="002A1A32">
        <w:trPr>
          <w:trHeight w:val="260"/>
        </w:trPr>
        <w:tc>
          <w:tcPr>
            <w:tcW w:w="1680" w:type="dxa"/>
            <w:tcBorders>
              <w:top w:val="nil"/>
              <w:left w:val="single" w:sz="4" w:space="0" w:color="auto"/>
              <w:bottom w:val="single" w:sz="4" w:space="0" w:color="auto"/>
              <w:right w:val="single" w:sz="4" w:space="0" w:color="auto"/>
            </w:tcBorders>
            <w:shd w:val="clear" w:color="DDEBF7" w:fill="D0CECE"/>
            <w:noWrap/>
            <w:vAlign w:val="bottom"/>
            <w:hideMark/>
          </w:tcPr>
          <w:p w14:paraId="59BAB4DB"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Grand Total</w:t>
            </w:r>
          </w:p>
        </w:tc>
        <w:tc>
          <w:tcPr>
            <w:tcW w:w="1020" w:type="dxa"/>
            <w:tcBorders>
              <w:top w:val="nil"/>
              <w:left w:val="nil"/>
              <w:bottom w:val="single" w:sz="4" w:space="0" w:color="auto"/>
              <w:right w:val="single" w:sz="4" w:space="0" w:color="auto"/>
            </w:tcBorders>
            <w:shd w:val="clear" w:color="DDEBF7" w:fill="D0CECE"/>
            <w:noWrap/>
            <w:vAlign w:val="bottom"/>
            <w:hideMark/>
          </w:tcPr>
          <w:p w14:paraId="6AB90EB9"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2251</w:t>
            </w:r>
          </w:p>
        </w:tc>
        <w:tc>
          <w:tcPr>
            <w:tcW w:w="1160" w:type="dxa"/>
            <w:tcBorders>
              <w:top w:val="nil"/>
              <w:left w:val="nil"/>
              <w:bottom w:val="single" w:sz="4" w:space="0" w:color="auto"/>
              <w:right w:val="single" w:sz="4" w:space="0" w:color="auto"/>
            </w:tcBorders>
            <w:shd w:val="clear" w:color="DDEBF7" w:fill="D0CECE"/>
            <w:noWrap/>
            <w:vAlign w:val="bottom"/>
            <w:hideMark/>
          </w:tcPr>
          <w:p w14:paraId="5876AEE4"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100</w:t>
            </w:r>
          </w:p>
        </w:tc>
      </w:tr>
    </w:tbl>
    <w:p w14:paraId="5B3566C4" w14:textId="77777777" w:rsidR="00C147B4" w:rsidRPr="00C147B4" w:rsidRDefault="00C147B4" w:rsidP="00C147B4">
      <w:pPr>
        <w:spacing w:before="240"/>
        <w:ind w:firstLine="426"/>
        <w:rPr>
          <w:rFonts w:ascii="Calibri" w:eastAsia="Times New Roman" w:hAnsi="Calibri" w:cs="Times New Roman"/>
          <w:b/>
        </w:rPr>
      </w:pPr>
      <w:r w:rsidRPr="00C147B4">
        <w:rPr>
          <w:rFonts w:ascii="Calibri" w:eastAsia="Times New Roman" w:hAnsi="Calibri" w:cs="Times New Roman"/>
          <w:noProof/>
        </w:rPr>
        <w:drawing>
          <wp:inline distT="0" distB="0" distL="0" distR="0" wp14:anchorId="7DA64BED" wp14:editId="6FBBC34C">
            <wp:extent cx="4638675" cy="28098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B458A7" w14:textId="77777777" w:rsidR="00C147B4" w:rsidRPr="00C147B4" w:rsidRDefault="00C147B4" w:rsidP="00C147B4">
      <w:pPr>
        <w:spacing w:before="240"/>
        <w:ind w:firstLine="426"/>
        <w:rPr>
          <w:rFonts w:ascii="Calibri" w:eastAsia="Times New Roman" w:hAnsi="Calibri" w:cs="Times New Roman"/>
          <w:b/>
        </w:rPr>
      </w:pPr>
    </w:p>
    <w:p w14:paraId="63B9C446" w14:textId="77777777" w:rsidR="00C147B4" w:rsidRPr="00C147B4" w:rsidRDefault="00C147B4" w:rsidP="00C147B4">
      <w:pPr>
        <w:spacing w:before="240"/>
        <w:rPr>
          <w:rFonts w:ascii="Calibri" w:eastAsia="Times New Roman" w:hAnsi="Calibri" w:cs="Times New Roman"/>
          <w:b/>
        </w:rPr>
      </w:pPr>
      <w:r w:rsidRPr="00C147B4">
        <w:rPr>
          <w:rFonts w:ascii="Calibri" w:eastAsia="Times New Roman" w:hAnsi="Calibri" w:cs="Times New Roman"/>
          <w:b/>
          <w:color w:val="365F91"/>
          <w:sz w:val="28"/>
          <w:szCs w:val="28"/>
        </w:rPr>
        <w:lastRenderedPageBreak/>
        <w:t xml:space="preserve">Religion, Belief and Non-Belief  </w:t>
      </w:r>
    </w:p>
    <w:p w14:paraId="68ABA7D0" w14:textId="77777777" w:rsidR="00C147B4" w:rsidRPr="00C147B4" w:rsidRDefault="00C147B4" w:rsidP="00C147B4">
      <w:pPr>
        <w:rPr>
          <w:rFonts w:ascii="Calibri" w:eastAsia="Times New Roman" w:hAnsi="Calibri" w:cs="Times New Roman"/>
          <w:b/>
        </w:rPr>
      </w:pPr>
      <w:r w:rsidRPr="00C147B4">
        <w:rPr>
          <w:rFonts w:ascii="Calibri" w:eastAsia="Times New Roman" w:hAnsi="Calibri" w:cs="Arial"/>
          <w:sz w:val="24"/>
          <w:szCs w:val="24"/>
        </w:rPr>
        <w:t xml:space="preserve">In terms of Religion, Belief and non-belief 29% of staff are classed as unknown.  67.9% of staff stated that they are Christian; 1.3% state that they belong to another religion or belief that isn’t Christianity and 21.5% stated that they have no religion.  </w:t>
      </w:r>
      <w:r w:rsidRPr="00C147B4">
        <w:rPr>
          <w:rFonts w:ascii="Calibri" w:eastAsia="Times New Roman" w:hAnsi="Calibri" w:cs="Times New Roman"/>
          <w:b/>
        </w:rPr>
        <w:t xml:space="preserve"> </w:t>
      </w:r>
    </w:p>
    <w:p w14:paraId="1C51D678" w14:textId="77777777" w:rsidR="00C147B4" w:rsidRPr="00C147B4" w:rsidRDefault="00C147B4" w:rsidP="00C147B4">
      <w:pPr>
        <w:rPr>
          <w:rFonts w:ascii="Calibri" w:eastAsia="Times New Roman" w:hAnsi="Calibri" w:cs="Times New Roman"/>
          <w:b/>
          <w:color w:val="FF0000"/>
        </w:rPr>
      </w:pPr>
    </w:p>
    <w:p w14:paraId="0A9D6F65" w14:textId="77777777" w:rsidR="00C147B4" w:rsidRPr="00C147B4" w:rsidRDefault="00C147B4" w:rsidP="00C147B4">
      <w:pPr>
        <w:spacing w:before="240"/>
        <w:rPr>
          <w:rFonts w:ascii="Calibri" w:eastAsia="Times New Roman" w:hAnsi="Calibri" w:cs="Times New Roman"/>
          <w:b/>
        </w:rPr>
      </w:pPr>
      <w:r w:rsidRPr="00C147B4">
        <w:rPr>
          <w:rFonts w:ascii="Calibri" w:eastAsia="Times New Roman" w:hAnsi="Calibri" w:cs="Times New Roman"/>
          <w:b/>
        </w:rPr>
        <w:t>Number of council staff by religion, belief and non-belief:</w:t>
      </w:r>
    </w:p>
    <w:p w14:paraId="54C73933" w14:textId="77777777" w:rsidR="00C147B4" w:rsidRPr="00C147B4" w:rsidRDefault="00C147B4" w:rsidP="00C147B4">
      <w:pPr>
        <w:spacing w:before="240"/>
        <w:rPr>
          <w:rFonts w:ascii="Calibri" w:eastAsia="Times New Roman" w:hAnsi="Calibri" w:cs="Times New Roman"/>
          <w:b/>
        </w:rPr>
      </w:pPr>
    </w:p>
    <w:tbl>
      <w:tblPr>
        <w:tblpPr w:leftFromText="180" w:rightFromText="180" w:vertAnchor="text" w:horzAnchor="margin" w:tblpXSpec="right" w:tblpY="1038"/>
        <w:tblW w:w="4760" w:type="dxa"/>
        <w:tblLook w:val="04A0" w:firstRow="1" w:lastRow="0" w:firstColumn="1" w:lastColumn="0" w:noHBand="0" w:noVBand="1"/>
      </w:tblPr>
      <w:tblGrid>
        <w:gridCol w:w="2580"/>
        <w:gridCol w:w="1020"/>
        <w:gridCol w:w="1160"/>
      </w:tblGrid>
      <w:tr w:rsidR="00C147B4" w:rsidRPr="00C147B4" w14:paraId="45D420A4" w14:textId="77777777" w:rsidTr="002A1A32">
        <w:trPr>
          <w:trHeight w:val="260"/>
        </w:trPr>
        <w:tc>
          <w:tcPr>
            <w:tcW w:w="25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EA4C9D"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Religion, Belief and non-belief</w:t>
            </w:r>
          </w:p>
        </w:tc>
        <w:tc>
          <w:tcPr>
            <w:tcW w:w="1020" w:type="dxa"/>
            <w:tcBorders>
              <w:top w:val="single" w:sz="4" w:space="0" w:color="auto"/>
              <w:left w:val="nil"/>
              <w:bottom w:val="single" w:sz="4" w:space="0" w:color="auto"/>
              <w:right w:val="single" w:sz="4" w:space="0" w:color="auto"/>
            </w:tcBorders>
            <w:shd w:val="clear" w:color="000000" w:fill="FFFFFF"/>
            <w:noWrap/>
            <w:vAlign w:val="bottom"/>
            <w:hideMark/>
          </w:tcPr>
          <w:p w14:paraId="2C8A233D"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No.</w:t>
            </w:r>
          </w:p>
        </w:tc>
        <w:tc>
          <w:tcPr>
            <w:tcW w:w="1160" w:type="dxa"/>
            <w:tcBorders>
              <w:top w:val="single" w:sz="4" w:space="0" w:color="auto"/>
              <w:left w:val="nil"/>
              <w:bottom w:val="single" w:sz="4" w:space="0" w:color="auto"/>
              <w:right w:val="single" w:sz="4" w:space="0" w:color="auto"/>
            </w:tcBorders>
            <w:shd w:val="clear" w:color="000000" w:fill="FFFFFF"/>
            <w:noWrap/>
            <w:vAlign w:val="bottom"/>
            <w:hideMark/>
          </w:tcPr>
          <w:p w14:paraId="4A76ACE8" w14:textId="77777777" w:rsidR="00C147B4" w:rsidRPr="00C147B4" w:rsidRDefault="00C147B4" w:rsidP="00C147B4">
            <w:pPr>
              <w:spacing w:after="0" w:line="240" w:lineRule="auto"/>
              <w:rPr>
                <w:rFonts w:ascii="Arial" w:eastAsia="Times New Roman" w:hAnsi="Arial" w:cs="Arial"/>
                <w:b/>
                <w:bCs/>
                <w:sz w:val="20"/>
                <w:szCs w:val="20"/>
              </w:rPr>
            </w:pPr>
            <w:r w:rsidRPr="00C147B4">
              <w:rPr>
                <w:rFonts w:ascii="Arial" w:eastAsia="Times New Roman" w:hAnsi="Arial" w:cs="Arial"/>
                <w:b/>
                <w:bCs/>
                <w:sz w:val="20"/>
                <w:szCs w:val="20"/>
              </w:rPr>
              <w:t>%</w:t>
            </w:r>
          </w:p>
        </w:tc>
      </w:tr>
      <w:tr w:rsidR="00C147B4" w:rsidRPr="00C147B4" w14:paraId="75094C1B"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5F4FDAE"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Christian</w:t>
            </w:r>
          </w:p>
        </w:tc>
        <w:tc>
          <w:tcPr>
            <w:tcW w:w="1020" w:type="dxa"/>
            <w:tcBorders>
              <w:top w:val="nil"/>
              <w:left w:val="nil"/>
              <w:bottom w:val="single" w:sz="4" w:space="0" w:color="auto"/>
              <w:right w:val="single" w:sz="4" w:space="0" w:color="auto"/>
            </w:tcBorders>
            <w:shd w:val="clear" w:color="auto" w:fill="auto"/>
            <w:noWrap/>
            <w:vAlign w:val="bottom"/>
            <w:hideMark/>
          </w:tcPr>
          <w:p w14:paraId="52B4EEB3"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1354</w:t>
            </w:r>
          </w:p>
        </w:tc>
        <w:tc>
          <w:tcPr>
            <w:tcW w:w="1160" w:type="dxa"/>
            <w:tcBorders>
              <w:top w:val="nil"/>
              <w:left w:val="nil"/>
              <w:bottom w:val="single" w:sz="4" w:space="0" w:color="auto"/>
              <w:right w:val="single" w:sz="4" w:space="0" w:color="auto"/>
            </w:tcBorders>
            <w:shd w:val="clear" w:color="000000" w:fill="FFFFFF"/>
            <w:noWrap/>
            <w:vAlign w:val="bottom"/>
            <w:hideMark/>
          </w:tcPr>
          <w:p w14:paraId="023637DA"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67.9</w:t>
            </w:r>
          </w:p>
        </w:tc>
      </w:tr>
      <w:tr w:rsidR="00C147B4" w:rsidRPr="00C147B4" w14:paraId="2A437A4E"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0B9A492"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 xml:space="preserve">Non-Christian </w:t>
            </w:r>
          </w:p>
        </w:tc>
        <w:tc>
          <w:tcPr>
            <w:tcW w:w="1020" w:type="dxa"/>
            <w:tcBorders>
              <w:top w:val="nil"/>
              <w:left w:val="nil"/>
              <w:bottom w:val="single" w:sz="4" w:space="0" w:color="auto"/>
              <w:right w:val="single" w:sz="4" w:space="0" w:color="auto"/>
            </w:tcBorders>
            <w:shd w:val="clear" w:color="auto" w:fill="auto"/>
            <w:noWrap/>
            <w:vAlign w:val="bottom"/>
            <w:hideMark/>
          </w:tcPr>
          <w:p w14:paraId="6CEB29B6"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25</w:t>
            </w:r>
          </w:p>
        </w:tc>
        <w:tc>
          <w:tcPr>
            <w:tcW w:w="1160" w:type="dxa"/>
            <w:tcBorders>
              <w:top w:val="nil"/>
              <w:left w:val="nil"/>
              <w:bottom w:val="single" w:sz="4" w:space="0" w:color="auto"/>
              <w:right w:val="single" w:sz="4" w:space="0" w:color="auto"/>
            </w:tcBorders>
            <w:shd w:val="clear" w:color="000000" w:fill="FFFFFF"/>
            <w:noWrap/>
            <w:vAlign w:val="bottom"/>
            <w:hideMark/>
          </w:tcPr>
          <w:p w14:paraId="14AC1F8F"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1.3</w:t>
            </w:r>
          </w:p>
        </w:tc>
      </w:tr>
      <w:tr w:rsidR="00C147B4" w:rsidRPr="00C147B4" w14:paraId="4A59AE4E"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79B7D581"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No religion or belief</w:t>
            </w:r>
          </w:p>
        </w:tc>
        <w:tc>
          <w:tcPr>
            <w:tcW w:w="1020" w:type="dxa"/>
            <w:tcBorders>
              <w:top w:val="nil"/>
              <w:left w:val="nil"/>
              <w:bottom w:val="single" w:sz="4" w:space="0" w:color="auto"/>
              <w:right w:val="single" w:sz="4" w:space="0" w:color="auto"/>
            </w:tcBorders>
            <w:shd w:val="clear" w:color="auto" w:fill="auto"/>
            <w:noWrap/>
            <w:vAlign w:val="bottom"/>
            <w:hideMark/>
          </w:tcPr>
          <w:p w14:paraId="1C86A788"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428</w:t>
            </w:r>
          </w:p>
        </w:tc>
        <w:tc>
          <w:tcPr>
            <w:tcW w:w="1160" w:type="dxa"/>
            <w:tcBorders>
              <w:top w:val="nil"/>
              <w:left w:val="nil"/>
              <w:bottom w:val="single" w:sz="4" w:space="0" w:color="auto"/>
              <w:right w:val="single" w:sz="4" w:space="0" w:color="auto"/>
            </w:tcBorders>
            <w:shd w:val="clear" w:color="000000" w:fill="FFFFFF"/>
            <w:noWrap/>
            <w:vAlign w:val="bottom"/>
            <w:hideMark/>
          </w:tcPr>
          <w:p w14:paraId="74D5D502"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21.5</w:t>
            </w:r>
          </w:p>
        </w:tc>
      </w:tr>
      <w:tr w:rsidR="00C147B4" w:rsidRPr="00C147B4" w14:paraId="0E7004AB"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D80B47C" w14:textId="77777777" w:rsidR="00C147B4" w:rsidRPr="00C147B4" w:rsidRDefault="00C147B4" w:rsidP="00C147B4">
            <w:pPr>
              <w:spacing w:after="0" w:line="240" w:lineRule="auto"/>
              <w:rPr>
                <w:rFonts w:ascii="Arial" w:eastAsia="Times New Roman" w:hAnsi="Arial" w:cs="Arial"/>
                <w:sz w:val="20"/>
                <w:szCs w:val="20"/>
              </w:rPr>
            </w:pPr>
            <w:r w:rsidRPr="00C147B4">
              <w:rPr>
                <w:rFonts w:ascii="Arial" w:eastAsia="Times New Roman" w:hAnsi="Arial" w:cs="Arial"/>
                <w:sz w:val="20"/>
                <w:szCs w:val="20"/>
              </w:rPr>
              <w:t>Prefer not to say</w:t>
            </w:r>
          </w:p>
        </w:tc>
        <w:tc>
          <w:tcPr>
            <w:tcW w:w="1020" w:type="dxa"/>
            <w:tcBorders>
              <w:top w:val="nil"/>
              <w:left w:val="nil"/>
              <w:bottom w:val="single" w:sz="4" w:space="0" w:color="auto"/>
              <w:right w:val="single" w:sz="4" w:space="0" w:color="auto"/>
            </w:tcBorders>
            <w:shd w:val="clear" w:color="auto" w:fill="auto"/>
            <w:noWrap/>
            <w:vAlign w:val="bottom"/>
            <w:hideMark/>
          </w:tcPr>
          <w:p w14:paraId="7D98E431"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186</w:t>
            </w:r>
          </w:p>
        </w:tc>
        <w:tc>
          <w:tcPr>
            <w:tcW w:w="1160" w:type="dxa"/>
            <w:tcBorders>
              <w:top w:val="nil"/>
              <w:left w:val="nil"/>
              <w:bottom w:val="single" w:sz="4" w:space="0" w:color="auto"/>
              <w:right w:val="single" w:sz="4" w:space="0" w:color="auto"/>
            </w:tcBorders>
            <w:shd w:val="clear" w:color="000000" w:fill="FFFFFF"/>
            <w:noWrap/>
            <w:vAlign w:val="bottom"/>
            <w:hideMark/>
          </w:tcPr>
          <w:p w14:paraId="6D772269"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9.3</w:t>
            </w:r>
          </w:p>
        </w:tc>
      </w:tr>
      <w:tr w:rsidR="00C147B4" w:rsidRPr="00C147B4" w14:paraId="397FE138" w14:textId="77777777" w:rsidTr="002A1A32">
        <w:trPr>
          <w:trHeight w:val="260"/>
        </w:trPr>
        <w:tc>
          <w:tcPr>
            <w:tcW w:w="2580" w:type="dxa"/>
            <w:tcBorders>
              <w:top w:val="nil"/>
              <w:left w:val="single" w:sz="4" w:space="0" w:color="auto"/>
              <w:bottom w:val="single" w:sz="4" w:space="0" w:color="auto"/>
              <w:right w:val="single" w:sz="4" w:space="0" w:color="auto"/>
            </w:tcBorders>
            <w:shd w:val="clear" w:color="DDEBF7" w:fill="D0CECE"/>
            <w:noWrap/>
            <w:vAlign w:val="bottom"/>
            <w:hideMark/>
          </w:tcPr>
          <w:p w14:paraId="7A6FC499"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Grand Total</w:t>
            </w:r>
          </w:p>
        </w:tc>
        <w:tc>
          <w:tcPr>
            <w:tcW w:w="1020" w:type="dxa"/>
            <w:tcBorders>
              <w:top w:val="nil"/>
              <w:left w:val="nil"/>
              <w:bottom w:val="single" w:sz="4" w:space="0" w:color="auto"/>
              <w:right w:val="single" w:sz="4" w:space="0" w:color="auto"/>
            </w:tcBorders>
            <w:shd w:val="clear" w:color="DDEBF7" w:fill="D0CECE"/>
            <w:noWrap/>
            <w:vAlign w:val="bottom"/>
            <w:hideMark/>
          </w:tcPr>
          <w:p w14:paraId="2CD60F6E"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1993</w:t>
            </w:r>
          </w:p>
        </w:tc>
        <w:tc>
          <w:tcPr>
            <w:tcW w:w="1160" w:type="dxa"/>
            <w:tcBorders>
              <w:top w:val="nil"/>
              <w:left w:val="nil"/>
              <w:bottom w:val="single" w:sz="4" w:space="0" w:color="auto"/>
              <w:right w:val="single" w:sz="4" w:space="0" w:color="auto"/>
            </w:tcBorders>
            <w:shd w:val="clear" w:color="DDEBF7" w:fill="D0CECE"/>
            <w:noWrap/>
            <w:vAlign w:val="bottom"/>
            <w:hideMark/>
          </w:tcPr>
          <w:p w14:paraId="2B1AAD87"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100</w:t>
            </w:r>
          </w:p>
        </w:tc>
      </w:tr>
    </w:tbl>
    <w:p w14:paraId="79EFFEA0" w14:textId="77777777" w:rsidR="00C147B4" w:rsidRPr="00C147B4" w:rsidRDefault="00C147B4" w:rsidP="00C147B4">
      <w:pPr>
        <w:spacing w:before="240"/>
        <w:rPr>
          <w:rFonts w:ascii="Calibri" w:eastAsia="Times New Roman" w:hAnsi="Calibri" w:cs="Times New Roman"/>
          <w:b/>
        </w:rPr>
      </w:pPr>
      <w:r w:rsidRPr="00C147B4">
        <w:rPr>
          <w:rFonts w:ascii="Calibri" w:eastAsia="Times New Roman" w:hAnsi="Calibri" w:cs="Times New Roman"/>
          <w:noProof/>
        </w:rPr>
        <w:drawing>
          <wp:inline distT="0" distB="0" distL="0" distR="0" wp14:anchorId="114032B9" wp14:editId="66E69D46">
            <wp:extent cx="5219700" cy="2882900"/>
            <wp:effectExtent l="0" t="0" r="0" b="12700"/>
            <wp:docPr id="6" name="Chart 6">
              <a:extLst xmlns:a="http://schemas.openxmlformats.org/drawingml/2006/main">
                <a:ext uri="{FF2B5EF4-FFF2-40B4-BE49-F238E27FC236}">
                  <a16:creationId xmlns:a16="http://schemas.microsoft.com/office/drawing/2014/main" id="{539BECB2-03D4-48E9-903C-5F92CD1997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0845CD" w14:textId="77777777" w:rsidR="00C147B4" w:rsidRPr="00C147B4" w:rsidRDefault="00C147B4" w:rsidP="00C147B4">
      <w:pPr>
        <w:spacing w:before="240"/>
        <w:rPr>
          <w:rFonts w:ascii="Calibri" w:eastAsia="Times New Roman" w:hAnsi="Calibri" w:cs="Times New Roman"/>
          <w:b/>
        </w:rPr>
      </w:pPr>
    </w:p>
    <w:p w14:paraId="636A7EBF" w14:textId="77777777" w:rsidR="00C147B4" w:rsidRPr="00C147B4" w:rsidRDefault="00C147B4" w:rsidP="00C147B4">
      <w:pPr>
        <w:spacing w:before="240"/>
        <w:rPr>
          <w:rFonts w:ascii="Calibri" w:eastAsia="Times New Roman" w:hAnsi="Calibri" w:cs="Times New Roman"/>
          <w:b/>
        </w:rPr>
      </w:pPr>
    </w:p>
    <w:p w14:paraId="078D44D9" w14:textId="77777777" w:rsidR="00C147B4" w:rsidRPr="00C147B4" w:rsidRDefault="00C147B4" w:rsidP="00C147B4">
      <w:pPr>
        <w:spacing w:before="24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Leavers </w:t>
      </w:r>
    </w:p>
    <w:p w14:paraId="5196FC0B" w14:textId="77777777" w:rsidR="00C147B4" w:rsidRPr="00C147B4" w:rsidRDefault="00C147B4" w:rsidP="00C147B4">
      <w:pPr>
        <w:spacing w:after="0"/>
        <w:rPr>
          <w:rFonts w:ascii="Calibri" w:eastAsia="Times New Roman" w:hAnsi="Calibri" w:cs="Arial"/>
          <w:sz w:val="24"/>
          <w:szCs w:val="24"/>
        </w:rPr>
      </w:pPr>
      <w:r w:rsidRPr="00C147B4">
        <w:rPr>
          <w:rFonts w:ascii="Calibri" w:eastAsia="Times New Roman" w:hAnsi="Calibri" w:cs="Arial"/>
          <w:sz w:val="24"/>
          <w:szCs w:val="24"/>
        </w:rPr>
        <w:t>A total of 228 people left employment with the council between 1</w:t>
      </w:r>
      <w:r w:rsidRPr="00C147B4">
        <w:rPr>
          <w:rFonts w:ascii="Calibri" w:eastAsia="Times New Roman" w:hAnsi="Calibri" w:cs="Arial"/>
          <w:sz w:val="24"/>
          <w:szCs w:val="24"/>
          <w:vertAlign w:val="superscript"/>
        </w:rPr>
        <w:t>st</w:t>
      </w:r>
      <w:r w:rsidRPr="00C147B4">
        <w:rPr>
          <w:rFonts w:ascii="Calibri" w:eastAsia="Times New Roman" w:hAnsi="Calibri" w:cs="Arial"/>
          <w:sz w:val="24"/>
          <w:szCs w:val="24"/>
        </w:rPr>
        <w:t xml:space="preserve"> April 2019 and 31</w:t>
      </w:r>
      <w:r w:rsidRPr="00C147B4">
        <w:rPr>
          <w:rFonts w:ascii="Calibri" w:eastAsia="Times New Roman" w:hAnsi="Calibri" w:cs="Arial"/>
          <w:sz w:val="24"/>
          <w:szCs w:val="24"/>
          <w:vertAlign w:val="superscript"/>
        </w:rPr>
        <w:t>st</w:t>
      </w:r>
      <w:r w:rsidRPr="00C147B4">
        <w:rPr>
          <w:rFonts w:ascii="Calibri" w:eastAsia="Times New Roman" w:hAnsi="Calibri" w:cs="Arial"/>
          <w:sz w:val="24"/>
          <w:szCs w:val="24"/>
        </w:rPr>
        <w:t xml:space="preserve"> March 2020.  Of the leavers 67% were female and 33% were male. 17.5% of leavers’ ethnicity was unknown, and 4.3% (n=8) were from a BME background. 35% of leavers were unknown in relation to disability; out of those whose disability status was known, 6.8% were disabled, this equates to 3 people.  32% of leavers hadn’t disclosed their religion; 1.9% (n=3) of leavers stated that they belonged to a religion that wasn’t Christianity. 4 staff were made compulsorily redundant in 2020.</w:t>
      </w:r>
    </w:p>
    <w:p w14:paraId="28500937" w14:textId="77777777" w:rsidR="00C147B4" w:rsidRPr="00C147B4" w:rsidRDefault="00C147B4" w:rsidP="00C147B4">
      <w:pPr>
        <w:spacing w:after="0"/>
        <w:rPr>
          <w:rFonts w:ascii="Calibri" w:eastAsia="Times New Roman" w:hAnsi="Calibri" w:cs="Arial"/>
          <w:color w:val="FF0000"/>
          <w:sz w:val="24"/>
          <w:szCs w:val="24"/>
        </w:rPr>
      </w:pPr>
    </w:p>
    <w:p w14:paraId="217E46F1" w14:textId="77777777" w:rsidR="00C147B4" w:rsidRPr="00C147B4" w:rsidRDefault="00C147B4" w:rsidP="00C147B4">
      <w:pPr>
        <w:spacing w:after="0"/>
        <w:rPr>
          <w:rFonts w:ascii="Calibri" w:eastAsia="Times New Roman" w:hAnsi="Calibri" w:cs="Arial"/>
          <w:color w:val="FF0000"/>
          <w:sz w:val="24"/>
          <w:szCs w:val="24"/>
        </w:rPr>
      </w:pPr>
      <w:r w:rsidRPr="00C147B4">
        <w:rPr>
          <w:rFonts w:ascii="Calibri" w:eastAsia="Times New Roman" w:hAnsi="Calibri" w:cs="Arial"/>
          <w:color w:val="FF0000"/>
          <w:sz w:val="24"/>
          <w:szCs w:val="24"/>
        </w:rPr>
        <w:t xml:space="preserve"> </w:t>
      </w:r>
    </w:p>
    <w:tbl>
      <w:tblPr>
        <w:tblW w:w="5944" w:type="dxa"/>
        <w:tblLook w:val="04A0" w:firstRow="1" w:lastRow="0" w:firstColumn="1" w:lastColumn="0" w:noHBand="0" w:noVBand="1"/>
      </w:tblPr>
      <w:tblGrid>
        <w:gridCol w:w="4101"/>
        <w:gridCol w:w="992"/>
        <w:gridCol w:w="851"/>
      </w:tblGrid>
      <w:tr w:rsidR="00C147B4" w:rsidRPr="00C147B4" w14:paraId="73A0EC65" w14:textId="77777777" w:rsidTr="002A1A32">
        <w:trPr>
          <w:trHeight w:val="270"/>
        </w:trPr>
        <w:tc>
          <w:tcPr>
            <w:tcW w:w="4101" w:type="dxa"/>
            <w:tcBorders>
              <w:top w:val="single" w:sz="8" w:space="0" w:color="auto"/>
              <w:left w:val="single" w:sz="8" w:space="0" w:color="auto"/>
              <w:bottom w:val="nil"/>
              <w:right w:val="single" w:sz="4" w:space="0" w:color="auto"/>
            </w:tcBorders>
            <w:shd w:val="clear" w:color="000000" w:fill="D9D9D9"/>
            <w:vAlign w:val="bottom"/>
            <w:hideMark/>
          </w:tcPr>
          <w:p w14:paraId="04745BBA" w14:textId="77777777" w:rsidR="00C147B4" w:rsidRPr="00C147B4" w:rsidRDefault="00C147B4" w:rsidP="00C147B4">
            <w:pPr>
              <w:spacing w:after="0" w:line="240" w:lineRule="auto"/>
              <w:rPr>
                <w:rFonts w:ascii="Calibri" w:eastAsia="Times New Roman" w:hAnsi="Calibri" w:cs="Calibri"/>
                <w:b/>
                <w:bCs/>
                <w:sz w:val="24"/>
                <w:szCs w:val="24"/>
              </w:rPr>
            </w:pPr>
            <w:r w:rsidRPr="00C147B4">
              <w:rPr>
                <w:rFonts w:ascii="Calibri" w:eastAsia="Times New Roman" w:hAnsi="Calibri" w:cs="Calibri"/>
                <w:b/>
                <w:bCs/>
                <w:sz w:val="24"/>
                <w:szCs w:val="24"/>
              </w:rPr>
              <w:t xml:space="preserve">Reason for Leaving </w:t>
            </w:r>
          </w:p>
        </w:tc>
        <w:tc>
          <w:tcPr>
            <w:tcW w:w="992" w:type="dxa"/>
            <w:tcBorders>
              <w:top w:val="single" w:sz="8" w:space="0" w:color="auto"/>
              <w:left w:val="nil"/>
              <w:bottom w:val="nil"/>
              <w:right w:val="single" w:sz="4" w:space="0" w:color="auto"/>
            </w:tcBorders>
            <w:shd w:val="clear" w:color="000000" w:fill="D9D9D9"/>
            <w:vAlign w:val="bottom"/>
            <w:hideMark/>
          </w:tcPr>
          <w:p w14:paraId="7EEFAFAE" w14:textId="77777777" w:rsidR="00C147B4" w:rsidRPr="00C147B4" w:rsidRDefault="00C147B4" w:rsidP="00C147B4">
            <w:pPr>
              <w:spacing w:after="0" w:line="240" w:lineRule="auto"/>
              <w:rPr>
                <w:rFonts w:ascii="Calibri" w:eastAsia="Times New Roman" w:hAnsi="Calibri" w:cs="Calibri"/>
                <w:b/>
                <w:bCs/>
                <w:sz w:val="24"/>
                <w:szCs w:val="24"/>
              </w:rPr>
            </w:pPr>
            <w:r w:rsidRPr="00C147B4">
              <w:rPr>
                <w:rFonts w:ascii="Calibri" w:eastAsia="Times New Roman" w:hAnsi="Calibri" w:cs="Calibri"/>
                <w:b/>
                <w:bCs/>
                <w:sz w:val="24"/>
                <w:szCs w:val="24"/>
              </w:rPr>
              <w:t>No.</w:t>
            </w:r>
          </w:p>
        </w:tc>
        <w:tc>
          <w:tcPr>
            <w:tcW w:w="851" w:type="dxa"/>
            <w:tcBorders>
              <w:top w:val="single" w:sz="8" w:space="0" w:color="auto"/>
              <w:left w:val="nil"/>
              <w:bottom w:val="nil"/>
              <w:right w:val="single" w:sz="8" w:space="0" w:color="auto"/>
            </w:tcBorders>
            <w:shd w:val="clear" w:color="000000" w:fill="D9D9D9"/>
            <w:vAlign w:val="bottom"/>
            <w:hideMark/>
          </w:tcPr>
          <w:p w14:paraId="4C33A07E" w14:textId="77777777" w:rsidR="00C147B4" w:rsidRPr="00C147B4" w:rsidRDefault="00C147B4" w:rsidP="00C147B4">
            <w:pPr>
              <w:spacing w:after="0" w:line="240" w:lineRule="auto"/>
              <w:rPr>
                <w:rFonts w:ascii="Calibri" w:eastAsia="Times New Roman" w:hAnsi="Calibri" w:cs="Calibri"/>
                <w:b/>
                <w:bCs/>
                <w:sz w:val="24"/>
                <w:szCs w:val="24"/>
              </w:rPr>
            </w:pPr>
            <w:r w:rsidRPr="00C147B4">
              <w:rPr>
                <w:rFonts w:ascii="Calibri" w:eastAsia="Times New Roman" w:hAnsi="Calibri" w:cs="Calibri"/>
                <w:b/>
                <w:bCs/>
                <w:sz w:val="24"/>
                <w:szCs w:val="24"/>
              </w:rPr>
              <w:t>%</w:t>
            </w:r>
          </w:p>
        </w:tc>
      </w:tr>
      <w:tr w:rsidR="00C147B4" w:rsidRPr="00C147B4" w14:paraId="626FEB2E" w14:textId="77777777" w:rsidTr="002A1A32">
        <w:trPr>
          <w:trHeight w:val="250"/>
        </w:trPr>
        <w:tc>
          <w:tcPr>
            <w:tcW w:w="4101"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F99CABC"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Resignation</w:t>
            </w:r>
          </w:p>
        </w:tc>
        <w:tc>
          <w:tcPr>
            <w:tcW w:w="992" w:type="dxa"/>
            <w:tcBorders>
              <w:top w:val="single" w:sz="8" w:space="0" w:color="auto"/>
              <w:left w:val="nil"/>
              <w:bottom w:val="single" w:sz="4" w:space="0" w:color="auto"/>
              <w:right w:val="single" w:sz="4" w:space="0" w:color="auto"/>
            </w:tcBorders>
            <w:shd w:val="clear" w:color="auto" w:fill="auto"/>
            <w:vAlign w:val="bottom"/>
            <w:hideMark/>
          </w:tcPr>
          <w:p w14:paraId="4A038BCD"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136</w:t>
            </w:r>
          </w:p>
        </w:tc>
        <w:tc>
          <w:tcPr>
            <w:tcW w:w="851" w:type="dxa"/>
            <w:tcBorders>
              <w:top w:val="single" w:sz="8" w:space="0" w:color="auto"/>
              <w:left w:val="nil"/>
              <w:bottom w:val="single" w:sz="4" w:space="0" w:color="auto"/>
              <w:right w:val="single" w:sz="8" w:space="0" w:color="auto"/>
            </w:tcBorders>
            <w:shd w:val="clear" w:color="000000" w:fill="FFFFFF"/>
            <w:vAlign w:val="bottom"/>
            <w:hideMark/>
          </w:tcPr>
          <w:p w14:paraId="05171AE8"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59.6</w:t>
            </w:r>
          </w:p>
        </w:tc>
      </w:tr>
      <w:tr w:rsidR="00C147B4" w:rsidRPr="00C147B4" w14:paraId="4BEF3017"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7A9E26B0"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End of Temp/Fixed Term Contract</w:t>
            </w:r>
          </w:p>
        </w:tc>
        <w:tc>
          <w:tcPr>
            <w:tcW w:w="992" w:type="dxa"/>
            <w:tcBorders>
              <w:top w:val="nil"/>
              <w:left w:val="nil"/>
              <w:bottom w:val="single" w:sz="4" w:space="0" w:color="auto"/>
              <w:right w:val="single" w:sz="4" w:space="0" w:color="auto"/>
            </w:tcBorders>
            <w:shd w:val="clear" w:color="auto" w:fill="auto"/>
            <w:vAlign w:val="bottom"/>
            <w:hideMark/>
          </w:tcPr>
          <w:p w14:paraId="203F2C1E"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17</w:t>
            </w:r>
          </w:p>
        </w:tc>
        <w:tc>
          <w:tcPr>
            <w:tcW w:w="851" w:type="dxa"/>
            <w:tcBorders>
              <w:top w:val="nil"/>
              <w:left w:val="nil"/>
              <w:bottom w:val="single" w:sz="4" w:space="0" w:color="auto"/>
              <w:right w:val="single" w:sz="8" w:space="0" w:color="auto"/>
            </w:tcBorders>
            <w:shd w:val="clear" w:color="000000" w:fill="FFFFFF"/>
            <w:vAlign w:val="bottom"/>
            <w:hideMark/>
          </w:tcPr>
          <w:p w14:paraId="328C503E"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7.5</w:t>
            </w:r>
          </w:p>
        </w:tc>
      </w:tr>
      <w:tr w:rsidR="00C147B4" w:rsidRPr="00C147B4" w14:paraId="54FF8597"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3214CCD4"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Early retirement + voluntary severance</w:t>
            </w:r>
          </w:p>
        </w:tc>
        <w:tc>
          <w:tcPr>
            <w:tcW w:w="992" w:type="dxa"/>
            <w:tcBorders>
              <w:top w:val="nil"/>
              <w:left w:val="nil"/>
              <w:bottom w:val="single" w:sz="4" w:space="0" w:color="auto"/>
              <w:right w:val="single" w:sz="4" w:space="0" w:color="auto"/>
            </w:tcBorders>
            <w:shd w:val="clear" w:color="auto" w:fill="auto"/>
            <w:vAlign w:val="bottom"/>
            <w:hideMark/>
          </w:tcPr>
          <w:p w14:paraId="6302BF20"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16</w:t>
            </w:r>
          </w:p>
        </w:tc>
        <w:tc>
          <w:tcPr>
            <w:tcW w:w="851" w:type="dxa"/>
            <w:tcBorders>
              <w:top w:val="nil"/>
              <w:left w:val="nil"/>
              <w:bottom w:val="single" w:sz="4" w:space="0" w:color="auto"/>
              <w:right w:val="single" w:sz="8" w:space="0" w:color="auto"/>
            </w:tcBorders>
            <w:shd w:val="clear" w:color="000000" w:fill="FFFFFF"/>
            <w:vAlign w:val="bottom"/>
            <w:hideMark/>
          </w:tcPr>
          <w:p w14:paraId="7B6B0DDB"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7.0</w:t>
            </w:r>
          </w:p>
        </w:tc>
      </w:tr>
      <w:tr w:rsidR="00C147B4" w:rsidRPr="00C147B4" w14:paraId="14E7A0D8"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69B4D595"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Early Retirement</w:t>
            </w:r>
          </w:p>
        </w:tc>
        <w:tc>
          <w:tcPr>
            <w:tcW w:w="992" w:type="dxa"/>
            <w:tcBorders>
              <w:top w:val="nil"/>
              <w:left w:val="nil"/>
              <w:bottom w:val="single" w:sz="4" w:space="0" w:color="auto"/>
              <w:right w:val="single" w:sz="4" w:space="0" w:color="auto"/>
            </w:tcBorders>
            <w:shd w:val="clear" w:color="auto" w:fill="auto"/>
            <w:vAlign w:val="bottom"/>
            <w:hideMark/>
          </w:tcPr>
          <w:p w14:paraId="5972AC43"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12</w:t>
            </w:r>
          </w:p>
        </w:tc>
        <w:tc>
          <w:tcPr>
            <w:tcW w:w="851" w:type="dxa"/>
            <w:tcBorders>
              <w:top w:val="nil"/>
              <w:left w:val="nil"/>
              <w:bottom w:val="single" w:sz="4" w:space="0" w:color="auto"/>
              <w:right w:val="single" w:sz="8" w:space="0" w:color="auto"/>
            </w:tcBorders>
            <w:shd w:val="clear" w:color="000000" w:fill="FFFFFF"/>
            <w:vAlign w:val="bottom"/>
            <w:hideMark/>
          </w:tcPr>
          <w:p w14:paraId="1F477F34"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5.3</w:t>
            </w:r>
          </w:p>
        </w:tc>
      </w:tr>
      <w:tr w:rsidR="00C147B4" w:rsidRPr="00C147B4" w14:paraId="5FB5FAEE"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151245BA"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Compromise agreement</w:t>
            </w:r>
          </w:p>
        </w:tc>
        <w:tc>
          <w:tcPr>
            <w:tcW w:w="992" w:type="dxa"/>
            <w:tcBorders>
              <w:top w:val="nil"/>
              <w:left w:val="nil"/>
              <w:bottom w:val="single" w:sz="4" w:space="0" w:color="auto"/>
              <w:right w:val="single" w:sz="4" w:space="0" w:color="auto"/>
            </w:tcBorders>
            <w:shd w:val="clear" w:color="auto" w:fill="auto"/>
            <w:vAlign w:val="bottom"/>
            <w:hideMark/>
          </w:tcPr>
          <w:p w14:paraId="7909C071"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8</w:t>
            </w:r>
          </w:p>
        </w:tc>
        <w:tc>
          <w:tcPr>
            <w:tcW w:w="851" w:type="dxa"/>
            <w:tcBorders>
              <w:top w:val="nil"/>
              <w:left w:val="nil"/>
              <w:bottom w:val="single" w:sz="4" w:space="0" w:color="auto"/>
              <w:right w:val="single" w:sz="8" w:space="0" w:color="auto"/>
            </w:tcBorders>
            <w:shd w:val="clear" w:color="000000" w:fill="FFFFFF"/>
            <w:vAlign w:val="bottom"/>
            <w:hideMark/>
          </w:tcPr>
          <w:p w14:paraId="0628A105"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3.5</w:t>
            </w:r>
          </w:p>
        </w:tc>
      </w:tr>
      <w:tr w:rsidR="00C147B4" w:rsidRPr="00C147B4" w14:paraId="5BA31F53"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63686C8D"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Disciplinary</w:t>
            </w:r>
          </w:p>
        </w:tc>
        <w:tc>
          <w:tcPr>
            <w:tcW w:w="992" w:type="dxa"/>
            <w:tcBorders>
              <w:top w:val="nil"/>
              <w:left w:val="nil"/>
              <w:bottom w:val="single" w:sz="4" w:space="0" w:color="auto"/>
              <w:right w:val="single" w:sz="4" w:space="0" w:color="auto"/>
            </w:tcBorders>
            <w:shd w:val="clear" w:color="auto" w:fill="auto"/>
            <w:vAlign w:val="bottom"/>
            <w:hideMark/>
          </w:tcPr>
          <w:p w14:paraId="3819533C"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8</w:t>
            </w:r>
          </w:p>
        </w:tc>
        <w:tc>
          <w:tcPr>
            <w:tcW w:w="851" w:type="dxa"/>
            <w:tcBorders>
              <w:top w:val="nil"/>
              <w:left w:val="nil"/>
              <w:bottom w:val="single" w:sz="4" w:space="0" w:color="auto"/>
              <w:right w:val="single" w:sz="8" w:space="0" w:color="auto"/>
            </w:tcBorders>
            <w:shd w:val="clear" w:color="000000" w:fill="FFFFFF"/>
            <w:vAlign w:val="bottom"/>
            <w:hideMark/>
          </w:tcPr>
          <w:p w14:paraId="3E9B01DC"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3.5</w:t>
            </w:r>
          </w:p>
        </w:tc>
      </w:tr>
      <w:tr w:rsidR="00C147B4" w:rsidRPr="00C147B4" w14:paraId="44D0A2E2"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1BF59B28"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Normal Retirement</w:t>
            </w:r>
          </w:p>
        </w:tc>
        <w:tc>
          <w:tcPr>
            <w:tcW w:w="992" w:type="dxa"/>
            <w:tcBorders>
              <w:top w:val="nil"/>
              <w:left w:val="nil"/>
              <w:bottom w:val="single" w:sz="4" w:space="0" w:color="auto"/>
              <w:right w:val="single" w:sz="4" w:space="0" w:color="auto"/>
            </w:tcBorders>
            <w:shd w:val="clear" w:color="auto" w:fill="auto"/>
            <w:vAlign w:val="bottom"/>
            <w:hideMark/>
          </w:tcPr>
          <w:p w14:paraId="384E0581"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8</w:t>
            </w:r>
          </w:p>
        </w:tc>
        <w:tc>
          <w:tcPr>
            <w:tcW w:w="851" w:type="dxa"/>
            <w:tcBorders>
              <w:top w:val="nil"/>
              <w:left w:val="nil"/>
              <w:bottom w:val="single" w:sz="4" w:space="0" w:color="auto"/>
              <w:right w:val="single" w:sz="8" w:space="0" w:color="auto"/>
            </w:tcBorders>
            <w:shd w:val="clear" w:color="000000" w:fill="FFFFFF"/>
            <w:vAlign w:val="bottom"/>
            <w:hideMark/>
          </w:tcPr>
          <w:p w14:paraId="2435F3A4"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3.5</w:t>
            </w:r>
          </w:p>
        </w:tc>
      </w:tr>
      <w:tr w:rsidR="00C147B4" w:rsidRPr="00C147B4" w14:paraId="0329CAB6"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13059CCF" w14:textId="0C203A93"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Medical Incapability</w:t>
            </w:r>
          </w:p>
        </w:tc>
        <w:tc>
          <w:tcPr>
            <w:tcW w:w="992" w:type="dxa"/>
            <w:tcBorders>
              <w:top w:val="nil"/>
              <w:left w:val="nil"/>
              <w:bottom w:val="single" w:sz="4" w:space="0" w:color="auto"/>
              <w:right w:val="single" w:sz="4" w:space="0" w:color="auto"/>
            </w:tcBorders>
            <w:shd w:val="clear" w:color="auto" w:fill="auto"/>
            <w:vAlign w:val="bottom"/>
            <w:hideMark/>
          </w:tcPr>
          <w:p w14:paraId="595D6978"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7</w:t>
            </w:r>
          </w:p>
        </w:tc>
        <w:tc>
          <w:tcPr>
            <w:tcW w:w="851" w:type="dxa"/>
            <w:tcBorders>
              <w:top w:val="nil"/>
              <w:left w:val="nil"/>
              <w:bottom w:val="single" w:sz="4" w:space="0" w:color="auto"/>
              <w:right w:val="single" w:sz="8" w:space="0" w:color="auto"/>
            </w:tcBorders>
            <w:shd w:val="clear" w:color="000000" w:fill="FFFFFF"/>
            <w:vAlign w:val="bottom"/>
            <w:hideMark/>
          </w:tcPr>
          <w:p w14:paraId="6FA40A3D"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3.1</w:t>
            </w:r>
          </w:p>
        </w:tc>
      </w:tr>
      <w:tr w:rsidR="00C147B4" w:rsidRPr="00C147B4" w14:paraId="3D911F79"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75526807" w14:textId="4C3807A0"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Redundancy (compulsory)</w:t>
            </w:r>
          </w:p>
        </w:tc>
        <w:tc>
          <w:tcPr>
            <w:tcW w:w="992" w:type="dxa"/>
            <w:tcBorders>
              <w:top w:val="nil"/>
              <w:left w:val="nil"/>
              <w:bottom w:val="single" w:sz="4" w:space="0" w:color="auto"/>
              <w:right w:val="single" w:sz="4" w:space="0" w:color="auto"/>
            </w:tcBorders>
            <w:shd w:val="clear" w:color="auto" w:fill="auto"/>
            <w:vAlign w:val="bottom"/>
            <w:hideMark/>
          </w:tcPr>
          <w:p w14:paraId="756DD26C"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4</w:t>
            </w:r>
          </w:p>
        </w:tc>
        <w:tc>
          <w:tcPr>
            <w:tcW w:w="851" w:type="dxa"/>
            <w:tcBorders>
              <w:top w:val="nil"/>
              <w:left w:val="nil"/>
              <w:bottom w:val="single" w:sz="4" w:space="0" w:color="auto"/>
              <w:right w:val="single" w:sz="8" w:space="0" w:color="auto"/>
            </w:tcBorders>
            <w:shd w:val="clear" w:color="000000" w:fill="FFFFFF"/>
            <w:vAlign w:val="bottom"/>
            <w:hideMark/>
          </w:tcPr>
          <w:p w14:paraId="112E7026"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1.8</w:t>
            </w:r>
          </w:p>
        </w:tc>
      </w:tr>
      <w:tr w:rsidR="00C147B4" w:rsidRPr="00C147B4" w14:paraId="55C910A9"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03712B3E"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Voluntary Severance</w:t>
            </w:r>
          </w:p>
        </w:tc>
        <w:tc>
          <w:tcPr>
            <w:tcW w:w="992" w:type="dxa"/>
            <w:tcBorders>
              <w:top w:val="nil"/>
              <w:left w:val="nil"/>
              <w:bottom w:val="single" w:sz="4" w:space="0" w:color="auto"/>
              <w:right w:val="single" w:sz="4" w:space="0" w:color="auto"/>
            </w:tcBorders>
            <w:shd w:val="clear" w:color="auto" w:fill="auto"/>
            <w:vAlign w:val="bottom"/>
            <w:hideMark/>
          </w:tcPr>
          <w:p w14:paraId="2794AB89"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4</w:t>
            </w:r>
          </w:p>
        </w:tc>
        <w:tc>
          <w:tcPr>
            <w:tcW w:w="851" w:type="dxa"/>
            <w:tcBorders>
              <w:top w:val="nil"/>
              <w:left w:val="nil"/>
              <w:bottom w:val="single" w:sz="4" w:space="0" w:color="auto"/>
              <w:right w:val="single" w:sz="8" w:space="0" w:color="auto"/>
            </w:tcBorders>
            <w:shd w:val="clear" w:color="000000" w:fill="FFFFFF"/>
            <w:vAlign w:val="bottom"/>
            <w:hideMark/>
          </w:tcPr>
          <w:p w14:paraId="0D858196"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1.8</w:t>
            </w:r>
          </w:p>
        </w:tc>
      </w:tr>
      <w:tr w:rsidR="00C147B4" w:rsidRPr="00C147B4" w14:paraId="1F9FFB36"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1D9113F0"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Death in service</w:t>
            </w:r>
          </w:p>
        </w:tc>
        <w:tc>
          <w:tcPr>
            <w:tcW w:w="992" w:type="dxa"/>
            <w:tcBorders>
              <w:top w:val="nil"/>
              <w:left w:val="nil"/>
              <w:bottom w:val="single" w:sz="4" w:space="0" w:color="auto"/>
              <w:right w:val="single" w:sz="4" w:space="0" w:color="auto"/>
            </w:tcBorders>
            <w:shd w:val="clear" w:color="auto" w:fill="auto"/>
            <w:vAlign w:val="bottom"/>
            <w:hideMark/>
          </w:tcPr>
          <w:p w14:paraId="61B6B148"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3</w:t>
            </w:r>
          </w:p>
        </w:tc>
        <w:tc>
          <w:tcPr>
            <w:tcW w:w="851" w:type="dxa"/>
            <w:tcBorders>
              <w:top w:val="nil"/>
              <w:left w:val="nil"/>
              <w:bottom w:val="single" w:sz="4" w:space="0" w:color="auto"/>
              <w:right w:val="single" w:sz="8" w:space="0" w:color="auto"/>
            </w:tcBorders>
            <w:shd w:val="clear" w:color="000000" w:fill="FFFFFF"/>
            <w:vAlign w:val="bottom"/>
            <w:hideMark/>
          </w:tcPr>
          <w:p w14:paraId="38BC01DB"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1.3</w:t>
            </w:r>
          </w:p>
        </w:tc>
      </w:tr>
      <w:tr w:rsidR="00C147B4" w:rsidRPr="00C147B4" w14:paraId="16882308" w14:textId="77777777" w:rsidTr="002A1A32">
        <w:trPr>
          <w:trHeight w:val="250"/>
        </w:trPr>
        <w:tc>
          <w:tcPr>
            <w:tcW w:w="4101" w:type="dxa"/>
            <w:tcBorders>
              <w:top w:val="nil"/>
              <w:left w:val="single" w:sz="8" w:space="0" w:color="auto"/>
              <w:bottom w:val="single" w:sz="4" w:space="0" w:color="auto"/>
              <w:right w:val="single" w:sz="4" w:space="0" w:color="auto"/>
            </w:tcBorders>
            <w:shd w:val="clear" w:color="auto" w:fill="auto"/>
            <w:vAlign w:val="bottom"/>
            <w:hideMark/>
          </w:tcPr>
          <w:p w14:paraId="5775197D"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Ill Health</w:t>
            </w:r>
          </w:p>
        </w:tc>
        <w:tc>
          <w:tcPr>
            <w:tcW w:w="992" w:type="dxa"/>
            <w:tcBorders>
              <w:top w:val="nil"/>
              <w:left w:val="nil"/>
              <w:bottom w:val="single" w:sz="4" w:space="0" w:color="auto"/>
              <w:right w:val="single" w:sz="4" w:space="0" w:color="auto"/>
            </w:tcBorders>
            <w:shd w:val="clear" w:color="auto" w:fill="auto"/>
            <w:vAlign w:val="bottom"/>
            <w:hideMark/>
          </w:tcPr>
          <w:p w14:paraId="425FA634"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3</w:t>
            </w:r>
          </w:p>
        </w:tc>
        <w:tc>
          <w:tcPr>
            <w:tcW w:w="851" w:type="dxa"/>
            <w:tcBorders>
              <w:top w:val="nil"/>
              <w:left w:val="nil"/>
              <w:bottom w:val="single" w:sz="4" w:space="0" w:color="auto"/>
              <w:right w:val="single" w:sz="8" w:space="0" w:color="auto"/>
            </w:tcBorders>
            <w:shd w:val="clear" w:color="000000" w:fill="FFFFFF"/>
            <w:vAlign w:val="bottom"/>
            <w:hideMark/>
          </w:tcPr>
          <w:p w14:paraId="6A77F1E7"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1.3</w:t>
            </w:r>
          </w:p>
        </w:tc>
      </w:tr>
      <w:tr w:rsidR="00C147B4" w:rsidRPr="00C147B4" w14:paraId="5E610006" w14:textId="77777777" w:rsidTr="003D0CE2">
        <w:trPr>
          <w:trHeight w:val="260"/>
        </w:trPr>
        <w:tc>
          <w:tcPr>
            <w:tcW w:w="4101" w:type="dxa"/>
            <w:tcBorders>
              <w:top w:val="nil"/>
              <w:left w:val="single" w:sz="8" w:space="0" w:color="auto"/>
              <w:bottom w:val="single" w:sz="8" w:space="0" w:color="auto"/>
              <w:right w:val="single" w:sz="4" w:space="0" w:color="auto"/>
            </w:tcBorders>
            <w:shd w:val="clear" w:color="auto" w:fill="auto"/>
            <w:vAlign w:val="bottom"/>
            <w:hideMark/>
          </w:tcPr>
          <w:p w14:paraId="7FB4A3E6"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TUPE transfer</w:t>
            </w:r>
          </w:p>
        </w:tc>
        <w:tc>
          <w:tcPr>
            <w:tcW w:w="992" w:type="dxa"/>
            <w:tcBorders>
              <w:top w:val="nil"/>
              <w:left w:val="nil"/>
              <w:bottom w:val="single" w:sz="8" w:space="0" w:color="auto"/>
              <w:right w:val="single" w:sz="4" w:space="0" w:color="auto"/>
            </w:tcBorders>
            <w:shd w:val="clear" w:color="auto" w:fill="auto"/>
            <w:vAlign w:val="bottom"/>
            <w:hideMark/>
          </w:tcPr>
          <w:p w14:paraId="50009F05"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2</w:t>
            </w:r>
          </w:p>
        </w:tc>
        <w:tc>
          <w:tcPr>
            <w:tcW w:w="851" w:type="dxa"/>
            <w:tcBorders>
              <w:top w:val="nil"/>
              <w:left w:val="nil"/>
              <w:bottom w:val="single" w:sz="8" w:space="0" w:color="auto"/>
              <w:right w:val="single" w:sz="8" w:space="0" w:color="auto"/>
            </w:tcBorders>
            <w:shd w:val="clear" w:color="000000" w:fill="FFFFFF"/>
            <w:vAlign w:val="bottom"/>
            <w:hideMark/>
          </w:tcPr>
          <w:p w14:paraId="42E17562"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0.9</w:t>
            </w:r>
          </w:p>
        </w:tc>
      </w:tr>
      <w:tr w:rsidR="00C147B4" w:rsidRPr="00C147B4" w14:paraId="3E0C5BA9" w14:textId="77777777" w:rsidTr="003D0CE2">
        <w:trPr>
          <w:trHeight w:val="260"/>
        </w:trPr>
        <w:tc>
          <w:tcPr>
            <w:tcW w:w="4101" w:type="dxa"/>
            <w:tcBorders>
              <w:top w:val="single" w:sz="8" w:space="0" w:color="auto"/>
              <w:left w:val="single" w:sz="8" w:space="0" w:color="auto"/>
              <w:bottom w:val="single" w:sz="4" w:space="0" w:color="auto"/>
              <w:right w:val="single" w:sz="4" w:space="0" w:color="auto"/>
            </w:tcBorders>
            <w:shd w:val="clear" w:color="000000" w:fill="D9D9D9"/>
            <w:vAlign w:val="bottom"/>
            <w:hideMark/>
          </w:tcPr>
          <w:p w14:paraId="4A4AD4B3" w14:textId="77777777" w:rsidR="00C147B4" w:rsidRPr="00C147B4" w:rsidRDefault="00C147B4" w:rsidP="00C147B4">
            <w:pPr>
              <w:spacing w:after="0" w:line="240" w:lineRule="auto"/>
              <w:rPr>
                <w:rFonts w:ascii="Calibri" w:eastAsia="Times New Roman" w:hAnsi="Calibri" w:cs="Calibri"/>
                <w:sz w:val="24"/>
                <w:szCs w:val="24"/>
              </w:rPr>
            </w:pPr>
            <w:r w:rsidRPr="00C147B4">
              <w:rPr>
                <w:rFonts w:ascii="Calibri" w:eastAsia="Times New Roman" w:hAnsi="Calibri" w:cs="Calibri"/>
                <w:sz w:val="24"/>
                <w:szCs w:val="24"/>
              </w:rPr>
              <w:t>Grand Total</w:t>
            </w:r>
          </w:p>
        </w:tc>
        <w:tc>
          <w:tcPr>
            <w:tcW w:w="992" w:type="dxa"/>
            <w:tcBorders>
              <w:top w:val="single" w:sz="8" w:space="0" w:color="auto"/>
              <w:left w:val="nil"/>
              <w:bottom w:val="single" w:sz="4" w:space="0" w:color="auto"/>
              <w:right w:val="single" w:sz="4" w:space="0" w:color="auto"/>
            </w:tcBorders>
            <w:shd w:val="clear" w:color="000000" w:fill="D9D9D9"/>
            <w:vAlign w:val="bottom"/>
            <w:hideMark/>
          </w:tcPr>
          <w:p w14:paraId="33CEADCC"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228</w:t>
            </w:r>
          </w:p>
        </w:tc>
        <w:tc>
          <w:tcPr>
            <w:tcW w:w="851" w:type="dxa"/>
            <w:tcBorders>
              <w:top w:val="single" w:sz="8" w:space="0" w:color="auto"/>
              <w:left w:val="nil"/>
              <w:bottom w:val="single" w:sz="4" w:space="0" w:color="auto"/>
              <w:right w:val="single" w:sz="8" w:space="0" w:color="auto"/>
            </w:tcBorders>
            <w:shd w:val="clear" w:color="000000" w:fill="D9D9D9"/>
            <w:vAlign w:val="bottom"/>
            <w:hideMark/>
          </w:tcPr>
          <w:p w14:paraId="1AEE2BA0" w14:textId="77777777" w:rsidR="00C147B4" w:rsidRPr="00C147B4" w:rsidRDefault="00C147B4" w:rsidP="00C147B4">
            <w:pPr>
              <w:spacing w:after="0" w:line="240" w:lineRule="auto"/>
              <w:jc w:val="right"/>
              <w:rPr>
                <w:rFonts w:ascii="Calibri" w:eastAsia="Times New Roman" w:hAnsi="Calibri" w:cs="Calibri"/>
                <w:sz w:val="24"/>
                <w:szCs w:val="24"/>
              </w:rPr>
            </w:pPr>
            <w:r w:rsidRPr="00C147B4">
              <w:rPr>
                <w:rFonts w:ascii="Calibri" w:eastAsia="Times New Roman" w:hAnsi="Calibri" w:cs="Calibri"/>
                <w:sz w:val="24"/>
                <w:szCs w:val="24"/>
              </w:rPr>
              <w:t>100</w:t>
            </w:r>
          </w:p>
        </w:tc>
      </w:tr>
    </w:tbl>
    <w:p w14:paraId="7B25479F" w14:textId="77777777" w:rsidR="00C147B4" w:rsidRPr="00C147B4" w:rsidRDefault="00C147B4" w:rsidP="00C147B4">
      <w:pPr>
        <w:spacing w:after="0"/>
        <w:rPr>
          <w:rFonts w:ascii="Calibri" w:eastAsia="Times New Roman" w:hAnsi="Calibri" w:cs="Arial"/>
          <w:color w:val="FF0000"/>
          <w:sz w:val="24"/>
          <w:szCs w:val="24"/>
        </w:rPr>
      </w:pPr>
    </w:p>
    <w:p w14:paraId="603987CF" w14:textId="77777777" w:rsidR="00C147B4" w:rsidRPr="00C147B4" w:rsidRDefault="00C147B4" w:rsidP="00C147B4">
      <w:pPr>
        <w:spacing w:after="0"/>
        <w:rPr>
          <w:rFonts w:ascii="Calibri" w:eastAsia="Times New Roman" w:hAnsi="Calibri" w:cs="Arial"/>
          <w:color w:val="FF0000"/>
          <w:sz w:val="24"/>
          <w:szCs w:val="24"/>
        </w:rPr>
      </w:pPr>
    </w:p>
    <w:p w14:paraId="1A1C0384" w14:textId="77777777" w:rsidR="00C147B4" w:rsidRPr="00C147B4" w:rsidRDefault="00C147B4" w:rsidP="00C147B4">
      <w:pPr>
        <w:rPr>
          <w:rFonts w:ascii="Arial" w:eastAsia="Times New Roman" w:hAnsi="Arial" w:cs="Arial"/>
          <w:color w:val="FF0000"/>
          <w:sz w:val="24"/>
          <w:szCs w:val="24"/>
        </w:rPr>
      </w:pPr>
    </w:p>
    <w:p w14:paraId="3FBFA756" w14:textId="77777777"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Recruitment and Selection </w:t>
      </w:r>
    </w:p>
    <w:p w14:paraId="3683538D" w14:textId="60AC6BF0" w:rsidR="00C147B4" w:rsidRPr="00C147B4" w:rsidRDefault="00C147B4" w:rsidP="00C147B4">
      <w:pPr>
        <w:rPr>
          <w:rFonts w:ascii="Calibri" w:eastAsia="Times New Roman" w:hAnsi="Calibri" w:cs="Arial"/>
          <w:color w:val="E36C0A"/>
          <w:sz w:val="24"/>
          <w:szCs w:val="24"/>
        </w:rPr>
      </w:pPr>
      <w:r w:rsidRPr="00C147B4">
        <w:rPr>
          <w:rFonts w:ascii="Calibri" w:eastAsia="Times New Roman" w:hAnsi="Calibri" w:cs="Arial"/>
          <w:sz w:val="24"/>
          <w:szCs w:val="24"/>
        </w:rPr>
        <w:t>During 2020 KMBC received 1818 applications for employment; this is an increase on 201</w:t>
      </w:r>
      <w:r w:rsidR="00770792">
        <w:rPr>
          <w:rFonts w:ascii="Calibri" w:eastAsia="Times New Roman" w:hAnsi="Calibri" w:cs="Arial"/>
          <w:sz w:val="24"/>
          <w:szCs w:val="24"/>
        </w:rPr>
        <w:t>9.</w:t>
      </w:r>
      <w:r w:rsidRPr="00C147B4">
        <w:rPr>
          <w:rFonts w:ascii="Calibri" w:eastAsia="Times New Roman" w:hAnsi="Calibri" w:cs="Arial"/>
          <w:sz w:val="24"/>
          <w:szCs w:val="24"/>
        </w:rPr>
        <w:t xml:space="preserve"> </w:t>
      </w:r>
      <w:r w:rsidR="00770792" w:rsidRPr="00C147B4">
        <w:rPr>
          <w:rFonts w:ascii="Calibri" w:eastAsia="Times New Roman" w:hAnsi="Calibri" w:cs="Arial"/>
          <w:sz w:val="24"/>
          <w:szCs w:val="24"/>
        </w:rPr>
        <w:t>Overall,</w:t>
      </w:r>
      <w:r w:rsidRPr="00C147B4">
        <w:rPr>
          <w:rFonts w:ascii="Calibri" w:eastAsia="Times New Roman" w:hAnsi="Calibri" w:cs="Arial"/>
          <w:sz w:val="24"/>
          <w:szCs w:val="24"/>
        </w:rPr>
        <w:t xml:space="preserve"> the likelihood of being shortlisted is 34.3% and the likelihood of being appointed after shortlisting is 36%. The overall likelihood of being appointed from application is 12.3%.</w:t>
      </w:r>
    </w:p>
    <w:p w14:paraId="672922BC" w14:textId="77777777"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Ethnicity</w:t>
      </w:r>
    </w:p>
    <w:p w14:paraId="30267052" w14:textId="51A20743"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90% of applicants completed the ethnicity questionnaire.  4.4% of applications were from people from a BME background, this is a 2.2% reduction on 2019 and nearly 2% over the working age BME population in Knowsley which is 2.5%</w:t>
      </w:r>
      <w:r w:rsidRPr="00C147B4">
        <w:rPr>
          <w:rFonts w:ascii="Calibri" w:eastAsia="Times New Roman" w:hAnsi="Calibri" w:cs="Arial"/>
          <w:sz w:val="24"/>
          <w:szCs w:val="24"/>
          <w:vertAlign w:val="superscript"/>
        </w:rPr>
        <w:footnoteReference w:id="5"/>
      </w:r>
      <w:r w:rsidRPr="00C147B4">
        <w:rPr>
          <w:rFonts w:ascii="Calibri" w:eastAsia="Times New Roman" w:hAnsi="Calibri" w:cs="Arial"/>
          <w:sz w:val="24"/>
          <w:szCs w:val="24"/>
        </w:rPr>
        <w:t>.  This illustrates that the council is attracting applications from people from a diverse range of backgrounds.</w:t>
      </w:r>
    </w:p>
    <w:p w14:paraId="4DAFD474" w14:textId="77777777" w:rsidR="00C147B4" w:rsidRPr="00C147B4" w:rsidRDefault="00C147B4" w:rsidP="00C147B4">
      <w:pPr>
        <w:rPr>
          <w:rFonts w:ascii="Calibri" w:eastAsia="Times New Roman" w:hAnsi="Calibri" w:cs="Arial"/>
          <w:color w:val="F79646"/>
          <w:sz w:val="24"/>
          <w:szCs w:val="24"/>
        </w:rPr>
      </w:pPr>
      <w:r w:rsidRPr="00C147B4">
        <w:rPr>
          <w:rFonts w:ascii="Calibri" w:eastAsia="Times New Roman" w:hAnsi="Calibri" w:cs="Arial"/>
          <w:sz w:val="24"/>
          <w:szCs w:val="24"/>
        </w:rPr>
        <w:t>Out of the applications that were shortlisted 3.7% were from a BME background; this is a success rate of 30.6%, this is an increase of 2.3% on 2019’s success rate and an increase of 15% since 2016.  The success rate for people from a White British background was 36%.  Out of those that were appointed 2.8% were from a BME background; this is a success rate of 27.3%.  This is 6% less than 2019. The success rate for people who were appointed from a non-BME background was 36.5%.  The likelihood of being appointed from application is 8% for a candidate from a BME background and 11% for a candidate who was White British.</w:t>
      </w:r>
    </w:p>
    <w:p w14:paraId="6D7637BC" w14:textId="77777777"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Sex (Gender)</w:t>
      </w:r>
    </w:p>
    <w:p w14:paraId="6B452014" w14:textId="77777777"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In terms of sex 61% of applications received were from women, 64% of those shortlisted and 64% of those appointed.   The success rates were as follows: likelihood of a female being short-listed 36%, likelihood of a male being shortlisted 32%; likelihood of being appointed from short-listing 36% for females and 35.7% for males. The likelihood of being appointed from application is 12.8% for a woman and 11.6% for a man.</w:t>
      </w:r>
    </w:p>
    <w:p w14:paraId="55EC97F9" w14:textId="77777777"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Disability</w:t>
      </w:r>
    </w:p>
    <w:p w14:paraId="708F1D45" w14:textId="77777777" w:rsidR="00C147B4" w:rsidRPr="00C147B4" w:rsidRDefault="00C147B4" w:rsidP="00C147B4">
      <w:pPr>
        <w:rPr>
          <w:rFonts w:ascii="Calibri" w:eastAsia="Times New Roman" w:hAnsi="Calibri" w:cs="Arial"/>
          <w:color w:val="F79646"/>
          <w:sz w:val="24"/>
          <w:szCs w:val="24"/>
        </w:rPr>
      </w:pPr>
      <w:r w:rsidRPr="00C147B4">
        <w:rPr>
          <w:rFonts w:ascii="Calibri" w:eastAsia="Times New Roman" w:hAnsi="Calibri" w:cs="Arial"/>
          <w:sz w:val="24"/>
          <w:szCs w:val="24"/>
        </w:rPr>
        <w:t xml:space="preserve">Out of all applications received 92% completed the disability section of the questionnaire. Applicants who identified as having a disability represented 10.8% of all applications, 7.3% of those who were shortlisted and 8.1% of those who were appointed.  The likelihood of being </w:t>
      </w:r>
      <w:r w:rsidRPr="00C147B4">
        <w:rPr>
          <w:rFonts w:ascii="Calibri" w:eastAsia="Times New Roman" w:hAnsi="Calibri" w:cs="Arial"/>
          <w:sz w:val="24"/>
          <w:szCs w:val="24"/>
        </w:rPr>
        <w:lastRenderedPageBreak/>
        <w:t>short-listed if you have a disability is 40.5% compared to 35.7% if a candidate isn’t disabled.  The likelihood of being appointed from application is 9.4% if a person identifies as disabled and 13% if a person isn’t disabled.</w:t>
      </w:r>
    </w:p>
    <w:p w14:paraId="3D62DCE6" w14:textId="77777777"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Religion, Belief and Non-Belief</w:t>
      </w:r>
    </w:p>
    <w:p w14:paraId="14C12EB6" w14:textId="77777777" w:rsidR="00C147B4" w:rsidRPr="00C147B4" w:rsidRDefault="00C147B4" w:rsidP="00C147B4">
      <w:pPr>
        <w:rPr>
          <w:rFonts w:ascii="Calibri" w:eastAsia="Times New Roman" w:hAnsi="Calibri" w:cs="Arial"/>
          <w:color w:val="F79646"/>
          <w:sz w:val="24"/>
          <w:szCs w:val="24"/>
        </w:rPr>
      </w:pPr>
      <w:r w:rsidRPr="00C147B4">
        <w:rPr>
          <w:rFonts w:ascii="Calibri" w:eastAsia="Times New Roman" w:hAnsi="Calibri" w:cs="Arial"/>
          <w:sz w:val="24"/>
          <w:szCs w:val="24"/>
        </w:rPr>
        <w:t>Of all applications received 81% completed the religion section of the questionnaire. Applicants who identified as having a religion that wasn’t Christianity made up 2.6% of applications received; 2% of those short listed and 0.5% of those who were appointed.  The likelihood of being shortlisted if a candidate identifies as non-Christian is 28% compared to 37% for a candidate that identifies as Christian.  The likelihood of being appointed from application is 2.6% if a person identifies as a religion other than Christian and 13.2% for candidates who identify as Christian.</w:t>
      </w:r>
    </w:p>
    <w:p w14:paraId="5229B6B6" w14:textId="77777777" w:rsidR="00C147B4" w:rsidRPr="00C147B4" w:rsidRDefault="00C147B4" w:rsidP="00C147B4">
      <w:pPr>
        <w:rPr>
          <w:rFonts w:ascii="Calibri" w:eastAsia="Times New Roman" w:hAnsi="Calibri" w:cs="Times New Roman"/>
          <w:b/>
          <w:color w:val="365F91"/>
          <w:sz w:val="24"/>
          <w:szCs w:val="24"/>
        </w:rPr>
      </w:pPr>
      <w:r w:rsidRPr="00C147B4">
        <w:rPr>
          <w:rFonts w:ascii="Calibri" w:eastAsia="Times New Roman" w:hAnsi="Calibri" w:cs="Times New Roman"/>
          <w:b/>
          <w:color w:val="365F91"/>
          <w:sz w:val="24"/>
          <w:szCs w:val="24"/>
        </w:rPr>
        <w:t>Rates of promotion</w:t>
      </w:r>
    </w:p>
    <w:p w14:paraId="05BBEED6" w14:textId="06CD4FA8"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Although, it is recorded whether or not an applicant is internal, their previous grade is not easily accessible without looking at each applicant’s personnel file.  Therefore, at the moment it is not possible to report on promotion rates.   The success rates for internal applicants were 47% for short-listing and 31% from application compared with 32% and 9.5% respectively for external candidates, however these figures could reflect the council’s policy to find suitable posts for those employees facing redundancy.  There are also some posts which are only advertised internally due to their short or fixed term nature.</w:t>
      </w:r>
    </w:p>
    <w:p w14:paraId="15C62CD6" w14:textId="77777777"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Training</w:t>
      </w:r>
    </w:p>
    <w:p w14:paraId="6EB2BDD8" w14:textId="77777777"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The council runs a corporate training prospectus as well as a prospectus for Social Care and Neighbourhoods.  Some job roles require mandatory training.  Staff are not obligated to inform workforce development if they attend external training.  In 2019 the council began an Aspiring Leaders internal training programme offered to all staff graded between M and Q as part of our succession planning and strategy to “grow our own”, this programme was delayed due to the pandemic, however it is due to start again in September 2021. The figures show that 2.5% of staff that accessed training identified as BME; 5.6% identified as disabled; 68.6% were female and 1.2% identified as belonging to a religion other than Christianity. Attendance at training is steady across the age categories.</w:t>
      </w:r>
    </w:p>
    <w:p w14:paraId="09F7542B" w14:textId="77777777" w:rsidR="002A1A32" w:rsidRDefault="002A1A32" w:rsidP="00C147B4">
      <w:pPr>
        <w:rPr>
          <w:rFonts w:ascii="Calibri" w:eastAsia="Times New Roman" w:hAnsi="Calibri" w:cs="Times New Roman"/>
          <w:b/>
          <w:color w:val="365F91"/>
          <w:sz w:val="28"/>
          <w:szCs w:val="28"/>
        </w:rPr>
      </w:pPr>
    </w:p>
    <w:p w14:paraId="5A29F8D6" w14:textId="49CAF3C9"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 xml:space="preserve">Length of service </w:t>
      </w:r>
    </w:p>
    <w:p w14:paraId="173BFCD7" w14:textId="03C14CA7" w:rsidR="00C147B4" w:rsidRPr="00C147B4" w:rsidRDefault="00C147B4" w:rsidP="00C147B4">
      <w:pPr>
        <w:rPr>
          <w:rFonts w:ascii="Calibri" w:eastAsia="Times New Roman" w:hAnsi="Calibri" w:cs="Arial"/>
          <w:color w:val="E36C0A"/>
          <w:sz w:val="24"/>
          <w:szCs w:val="24"/>
        </w:rPr>
      </w:pPr>
      <w:r w:rsidRPr="00C147B4">
        <w:rPr>
          <w:rFonts w:ascii="Calibri" w:eastAsia="Times New Roman" w:hAnsi="Calibri" w:cs="Arial"/>
          <w:sz w:val="24"/>
          <w:szCs w:val="24"/>
        </w:rPr>
        <w:t xml:space="preserve">A member of staff’s length of service is based on their service with Knowsley, although staff may have longer continuous service from previous employment in other areas of the public sector. The majority of council staff (22.4%) have been employed for less than 5 years; with 18% having 10-14 years’ service and the same for 15-19 </w:t>
      </w:r>
      <w:r w:rsidR="00A2348F" w:rsidRPr="00C147B4">
        <w:rPr>
          <w:rFonts w:ascii="Calibri" w:eastAsia="Times New Roman" w:hAnsi="Calibri" w:cs="Arial"/>
          <w:sz w:val="24"/>
          <w:szCs w:val="24"/>
        </w:rPr>
        <w:t>years’ service</w:t>
      </w:r>
      <w:r w:rsidRPr="00C147B4">
        <w:rPr>
          <w:rFonts w:ascii="Calibri" w:eastAsia="Times New Roman" w:hAnsi="Calibri" w:cs="Arial"/>
          <w:sz w:val="24"/>
          <w:szCs w:val="24"/>
        </w:rPr>
        <w:t>. The representation of women and BME staff is static across the varying lengths of service. The percentage of staff who consider themselves to be disabled increases with length of service in line with disabilities increasing with age.</w:t>
      </w:r>
    </w:p>
    <w:p w14:paraId="735F8870" w14:textId="77777777" w:rsidR="00C147B4" w:rsidRPr="00C147B4" w:rsidRDefault="00C147B4" w:rsidP="00C147B4">
      <w:pPr>
        <w:rPr>
          <w:rFonts w:ascii="Calibri" w:eastAsia="Times New Roman" w:hAnsi="Calibri" w:cs="Arial"/>
          <w:color w:val="E36C0A"/>
          <w:sz w:val="24"/>
          <w:szCs w:val="24"/>
        </w:rPr>
      </w:pPr>
    </w:p>
    <w:tbl>
      <w:tblPr>
        <w:tblpPr w:leftFromText="180" w:rightFromText="180" w:vertAnchor="text" w:horzAnchor="page" w:tblpX="10091" w:tblpY="424"/>
        <w:tblW w:w="4760" w:type="dxa"/>
        <w:tblLook w:val="04A0" w:firstRow="1" w:lastRow="0" w:firstColumn="1" w:lastColumn="0" w:noHBand="0" w:noVBand="1"/>
      </w:tblPr>
      <w:tblGrid>
        <w:gridCol w:w="2580"/>
        <w:gridCol w:w="1020"/>
        <w:gridCol w:w="1160"/>
      </w:tblGrid>
      <w:tr w:rsidR="00C147B4" w:rsidRPr="00C147B4" w14:paraId="31259668" w14:textId="77777777" w:rsidTr="002A1A32">
        <w:trPr>
          <w:trHeight w:val="260"/>
        </w:trPr>
        <w:tc>
          <w:tcPr>
            <w:tcW w:w="25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30223B4" w14:textId="77777777" w:rsidR="00C147B4" w:rsidRPr="00C147B4" w:rsidRDefault="00C147B4" w:rsidP="00C147B4">
            <w:pPr>
              <w:spacing w:after="0" w:line="240" w:lineRule="auto"/>
              <w:jc w:val="center"/>
              <w:rPr>
                <w:rFonts w:ascii="Arial" w:eastAsia="Times New Roman" w:hAnsi="Arial" w:cs="Arial"/>
                <w:b/>
                <w:bCs/>
                <w:sz w:val="20"/>
                <w:szCs w:val="20"/>
              </w:rPr>
            </w:pPr>
            <w:r w:rsidRPr="00C147B4">
              <w:rPr>
                <w:rFonts w:ascii="Arial" w:eastAsia="Times New Roman" w:hAnsi="Arial" w:cs="Arial"/>
                <w:b/>
                <w:bCs/>
                <w:sz w:val="20"/>
                <w:szCs w:val="20"/>
              </w:rPr>
              <w:t>Length of Service</w:t>
            </w:r>
          </w:p>
        </w:tc>
        <w:tc>
          <w:tcPr>
            <w:tcW w:w="1020" w:type="dxa"/>
            <w:tcBorders>
              <w:top w:val="single" w:sz="4" w:space="0" w:color="auto"/>
              <w:left w:val="nil"/>
              <w:bottom w:val="single" w:sz="4" w:space="0" w:color="auto"/>
              <w:right w:val="single" w:sz="4" w:space="0" w:color="auto"/>
            </w:tcBorders>
            <w:shd w:val="clear" w:color="000000" w:fill="BFBFBF"/>
            <w:noWrap/>
            <w:vAlign w:val="bottom"/>
            <w:hideMark/>
          </w:tcPr>
          <w:p w14:paraId="74208355" w14:textId="77777777" w:rsidR="00C147B4" w:rsidRPr="00C147B4" w:rsidRDefault="00C147B4" w:rsidP="00C147B4">
            <w:pPr>
              <w:spacing w:after="0" w:line="240" w:lineRule="auto"/>
              <w:jc w:val="center"/>
              <w:rPr>
                <w:rFonts w:ascii="Arial" w:eastAsia="Times New Roman" w:hAnsi="Arial" w:cs="Arial"/>
                <w:b/>
                <w:bCs/>
                <w:sz w:val="20"/>
                <w:szCs w:val="20"/>
              </w:rPr>
            </w:pPr>
            <w:r w:rsidRPr="00C147B4">
              <w:rPr>
                <w:rFonts w:ascii="Arial" w:eastAsia="Times New Roman" w:hAnsi="Arial" w:cs="Arial"/>
                <w:b/>
                <w:bCs/>
                <w:sz w:val="20"/>
                <w:szCs w:val="20"/>
              </w:rPr>
              <w:t>No.</w:t>
            </w:r>
          </w:p>
        </w:tc>
        <w:tc>
          <w:tcPr>
            <w:tcW w:w="1160" w:type="dxa"/>
            <w:tcBorders>
              <w:top w:val="single" w:sz="4" w:space="0" w:color="auto"/>
              <w:left w:val="nil"/>
              <w:bottom w:val="single" w:sz="4" w:space="0" w:color="auto"/>
              <w:right w:val="single" w:sz="4" w:space="0" w:color="auto"/>
            </w:tcBorders>
            <w:shd w:val="clear" w:color="000000" w:fill="BFBFBF"/>
            <w:noWrap/>
            <w:vAlign w:val="bottom"/>
            <w:hideMark/>
          </w:tcPr>
          <w:p w14:paraId="1E5B5701" w14:textId="77777777" w:rsidR="00C147B4" w:rsidRPr="00C147B4" w:rsidRDefault="00C147B4" w:rsidP="00C147B4">
            <w:pPr>
              <w:spacing w:after="0" w:line="240" w:lineRule="auto"/>
              <w:jc w:val="center"/>
              <w:rPr>
                <w:rFonts w:ascii="Arial" w:eastAsia="Times New Roman" w:hAnsi="Arial" w:cs="Arial"/>
                <w:b/>
                <w:bCs/>
                <w:sz w:val="20"/>
                <w:szCs w:val="20"/>
              </w:rPr>
            </w:pPr>
            <w:r w:rsidRPr="00C147B4">
              <w:rPr>
                <w:rFonts w:ascii="Arial" w:eastAsia="Times New Roman" w:hAnsi="Arial" w:cs="Arial"/>
                <w:b/>
                <w:bCs/>
                <w:sz w:val="20"/>
                <w:szCs w:val="20"/>
              </w:rPr>
              <w:t>%</w:t>
            </w:r>
          </w:p>
        </w:tc>
      </w:tr>
      <w:tr w:rsidR="00C147B4" w:rsidRPr="00C147B4" w14:paraId="19C4188A"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A07F3D8"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0-4</w:t>
            </w:r>
          </w:p>
        </w:tc>
        <w:tc>
          <w:tcPr>
            <w:tcW w:w="1020" w:type="dxa"/>
            <w:tcBorders>
              <w:top w:val="nil"/>
              <w:left w:val="nil"/>
              <w:bottom w:val="single" w:sz="4" w:space="0" w:color="auto"/>
              <w:right w:val="single" w:sz="4" w:space="0" w:color="auto"/>
            </w:tcBorders>
            <w:shd w:val="clear" w:color="auto" w:fill="auto"/>
            <w:noWrap/>
            <w:vAlign w:val="bottom"/>
            <w:hideMark/>
          </w:tcPr>
          <w:p w14:paraId="6E2253B2"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849</w:t>
            </w:r>
          </w:p>
        </w:tc>
        <w:tc>
          <w:tcPr>
            <w:tcW w:w="1160" w:type="dxa"/>
            <w:tcBorders>
              <w:top w:val="nil"/>
              <w:left w:val="nil"/>
              <w:bottom w:val="single" w:sz="4" w:space="0" w:color="auto"/>
              <w:right w:val="single" w:sz="4" w:space="0" w:color="auto"/>
            </w:tcBorders>
            <w:shd w:val="clear" w:color="000000" w:fill="FFFFFF"/>
            <w:noWrap/>
            <w:vAlign w:val="bottom"/>
            <w:hideMark/>
          </w:tcPr>
          <w:p w14:paraId="35F1D6A4"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30.2</w:t>
            </w:r>
          </w:p>
        </w:tc>
      </w:tr>
      <w:tr w:rsidR="00C147B4" w:rsidRPr="00C147B4" w14:paraId="3B7FCD11"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12EE1A23"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5-9</w:t>
            </w:r>
          </w:p>
        </w:tc>
        <w:tc>
          <w:tcPr>
            <w:tcW w:w="1020" w:type="dxa"/>
            <w:tcBorders>
              <w:top w:val="nil"/>
              <w:left w:val="nil"/>
              <w:bottom w:val="single" w:sz="4" w:space="0" w:color="auto"/>
              <w:right w:val="single" w:sz="4" w:space="0" w:color="auto"/>
            </w:tcBorders>
            <w:shd w:val="clear" w:color="auto" w:fill="auto"/>
            <w:noWrap/>
            <w:vAlign w:val="bottom"/>
            <w:hideMark/>
          </w:tcPr>
          <w:p w14:paraId="536D6670"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266</w:t>
            </w:r>
          </w:p>
        </w:tc>
        <w:tc>
          <w:tcPr>
            <w:tcW w:w="1160" w:type="dxa"/>
            <w:tcBorders>
              <w:top w:val="nil"/>
              <w:left w:val="nil"/>
              <w:bottom w:val="single" w:sz="4" w:space="0" w:color="auto"/>
              <w:right w:val="single" w:sz="4" w:space="0" w:color="auto"/>
            </w:tcBorders>
            <w:shd w:val="clear" w:color="000000" w:fill="FFFFFF"/>
            <w:noWrap/>
            <w:vAlign w:val="bottom"/>
            <w:hideMark/>
          </w:tcPr>
          <w:p w14:paraId="26FFB998"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9.5</w:t>
            </w:r>
          </w:p>
        </w:tc>
      </w:tr>
      <w:tr w:rsidR="00C147B4" w:rsidRPr="00C147B4" w14:paraId="38CD25AA"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0EADEA4"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10-14</w:t>
            </w:r>
          </w:p>
        </w:tc>
        <w:tc>
          <w:tcPr>
            <w:tcW w:w="1020" w:type="dxa"/>
            <w:tcBorders>
              <w:top w:val="nil"/>
              <w:left w:val="nil"/>
              <w:bottom w:val="single" w:sz="4" w:space="0" w:color="auto"/>
              <w:right w:val="single" w:sz="4" w:space="0" w:color="auto"/>
            </w:tcBorders>
            <w:shd w:val="clear" w:color="auto" w:fill="auto"/>
            <w:noWrap/>
            <w:vAlign w:val="bottom"/>
            <w:hideMark/>
          </w:tcPr>
          <w:p w14:paraId="3D6C0EC6"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528</w:t>
            </w:r>
          </w:p>
        </w:tc>
        <w:tc>
          <w:tcPr>
            <w:tcW w:w="1160" w:type="dxa"/>
            <w:tcBorders>
              <w:top w:val="nil"/>
              <w:left w:val="nil"/>
              <w:bottom w:val="single" w:sz="4" w:space="0" w:color="auto"/>
              <w:right w:val="single" w:sz="4" w:space="0" w:color="auto"/>
            </w:tcBorders>
            <w:shd w:val="clear" w:color="000000" w:fill="FFFFFF"/>
            <w:noWrap/>
            <w:vAlign w:val="bottom"/>
            <w:hideMark/>
          </w:tcPr>
          <w:p w14:paraId="757F898F"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18.8</w:t>
            </w:r>
          </w:p>
        </w:tc>
      </w:tr>
      <w:tr w:rsidR="00C147B4" w:rsidRPr="00C147B4" w14:paraId="0A04A453"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12AC832"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15-19</w:t>
            </w:r>
          </w:p>
        </w:tc>
        <w:tc>
          <w:tcPr>
            <w:tcW w:w="1020" w:type="dxa"/>
            <w:tcBorders>
              <w:top w:val="nil"/>
              <w:left w:val="nil"/>
              <w:bottom w:val="single" w:sz="4" w:space="0" w:color="auto"/>
              <w:right w:val="single" w:sz="4" w:space="0" w:color="auto"/>
            </w:tcBorders>
            <w:shd w:val="clear" w:color="auto" w:fill="auto"/>
            <w:noWrap/>
            <w:vAlign w:val="bottom"/>
            <w:hideMark/>
          </w:tcPr>
          <w:p w14:paraId="514EED0C"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530</w:t>
            </w:r>
          </w:p>
        </w:tc>
        <w:tc>
          <w:tcPr>
            <w:tcW w:w="1160" w:type="dxa"/>
            <w:tcBorders>
              <w:top w:val="nil"/>
              <w:left w:val="nil"/>
              <w:bottom w:val="single" w:sz="4" w:space="0" w:color="auto"/>
              <w:right w:val="single" w:sz="4" w:space="0" w:color="auto"/>
            </w:tcBorders>
            <w:shd w:val="clear" w:color="000000" w:fill="FFFFFF"/>
            <w:noWrap/>
            <w:vAlign w:val="bottom"/>
            <w:hideMark/>
          </w:tcPr>
          <w:p w14:paraId="5BE8B8C1"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18.9</w:t>
            </w:r>
          </w:p>
        </w:tc>
      </w:tr>
      <w:tr w:rsidR="00C147B4" w:rsidRPr="00C147B4" w14:paraId="7593B101"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F20C051"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20-24</w:t>
            </w:r>
          </w:p>
        </w:tc>
        <w:tc>
          <w:tcPr>
            <w:tcW w:w="1020" w:type="dxa"/>
            <w:tcBorders>
              <w:top w:val="nil"/>
              <w:left w:val="nil"/>
              <w:bottom w:val="single" w:sz="4" w:space="0" w:color="auto"/>
              <w:right w:val="single" w:sz="4" w:space="0" w:color="auto"/>
            </w:tcBorders>
            <w:shd w:val="clear" w:color="auto" w:fill="auto"/>
            <w:noWrap/>
            <w:vAlign w:val="bottom"/>
            <w:hideMark/>
          </w:tcPr>
          <w:p w14:paraId="567EDE28"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257</w:t>
            </w:r>
          </w:p>
        </w:tc>
        <w:tc>
          <w:tcPr>
            <w:tcW w:w="1160" w:type="dxa"/>
            <w:tcBorders>
              <w:top w:val="nil"/>
              <w:left w:val="nil"/>
              <w:bottom w:val="single" w:sz="4" w:space="0" w:color="auto"/>
              <w:right w:val="single" w:sz="4" w:space="0" w:color="auto"/>
            </w:tcBorders>
            <w:shd w:val="clear" w:color="000000" w:fill="FFFFFF"/>
            <w:noWrap/>
            <w:vAlign w:val="bottom"/>
            <w:hideMark/>
          </w:tcPr>
          <w:p w14:paraId="5C1D92C0"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9.2</w:t>
            </w:r>
          </w:p>
        </w:tc>
      </w:tr>
      <w:tr w:rsidR="00C147B4" w:rsidRPr="00C147B4" w14:paraId="2BF73766"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3DFA6AB9"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25-29</w:t>
            </w:r>
          </w:p>
        </w:tc>
        <w:tc>
          <w:tcPr>
            <w:tcW w:w="1020" w:type="dxa"/>
            <w:tcBorders>
              <w:top w:val="nil"/>
              <w:left w:val="nil"/>
              <w:bottom w:val="single" w:sz="4" w:space="0" w:color="auto"/>
              <w:right w:val="single" w:sz="4" w:space="0" w:color="auto"/>
            </w:tcBorders>
            <w:shd w:val="clear" w:color="auto" w:fill="auto"/>
            <w:noWrap/>
            <w:vAlign w:val="bottom"/>
            <w:hideMark/>
          </w:tcPr>
          <w:p w14:paraId="4ADD22AF"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122</w:t>
            </w:r>
          </w:p>
        </w:tc>
        <w:tc>
          <w:tcPr>
            <w:tcW w:w="1160" w:type="dxa"/>
            <w:tcBorders>
              <w:top w:val="nil"/>
              <w:left w:val="nil"/>
              <w:bottom w:val="single" w:sz="4" w:space="0" w:color="auto"/>
              <w:right w:val="single" w:sz="4" w:space="0" w:color="auto"/>
            </w:tcBorders>
            <w:shd w:val="clear" w:color="000000" w:fill="FFFFFF"/>
            <w:noWrap/>
            <w:vAlign w:val="bottom"/>
            <w:hideMark/>
          </w:tcPr>
          <w:p w14:paraId="2088677F"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4.3</w:t>
            </w:r>
          </w:p>
        </w:tc>
      </w:tr>
      <w:tr w:rsidR="00C147B4" w:rsidRPr="00C147B4" w14:paraId="1C807288"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461509BD"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30-34</w:t>
            </w:r>
          </w:p>
        </w:tc>
        <w:tc>
          <w:tcPr>
            <w:tcW w:w="1020" w:type="dxa"/>
            <w:tcBorders>
              <w:top w:val="nil"/>
              <w:left w:val="nil"/>
              <w:bottom w:val="single" w:sz="4" w:space="0" w:color="auto"/>
              <w:right w:val="single" w:sz="4" w:space="0" w:color="auto"/>
            </w:tcBorders>
            <w:shd w:val="clear" w:color="auto" w:fill="auto"/>
            <w:noWrap/>
            <w:vAlign w:val="bottom"/>
            <w:hideMark/>
          </w:tcPr>
          <w:p w14:paraId="30236EA7"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155</w:t>
            </w:r>
          </w:p>
        </w:tc>
        <w:tc>
          <w:tcPr>
            <w:tcW w:w="1160" w:type="dxa"/>
            <w:tcBorders>
              <w:top w:val="nil"/>
              <w:left w:val="nil"/>
              <w:bottom w:val="single" w:sz="4" w:space="0" w:color="auto"/>
              <w:right w:val="single" w:sz="4" w:space="0" w:color="auto"/>
            </w:tcBorders>
            <w:shd w:val="clear" w:color="000000" w:fill="FFFFFF"/>
            <w:noWrap/>
            <w:vAlign w:val="bottom"/>
            <w:hideMark/>
          </w:tcPr>
          <w:p w14:paraId="5A58D216"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5.5</w:t>
            </w:r>
          </w:p>
        </w:tc>
      </w:tr>
      <w:tr w:rsidR="00C147B4" w:rsidRPr="00C147B4" w14:paraId="5DEC97E0"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6B68B66"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35-39</w:t>
            </w:r>
          </w:p>
        </w:tc>
        <w:tc>
          <w:tcPr>
            <w:tcW w:w="1020" w:type="dxa"/>
            <w:tcBorders>
              <w:top w:val="nil"/>
              <w:left w:val="nil"/>
              <w:bottom w:val="single" w:sz="4" w:space="0" w:color="auto"/>
              <w:right w:val="single" w:sz="4" w:space="0" w:color="auto"/>
            </w:tcBorders>
            <w:shd w:val="clear" w:color="auto" w:fill="auto"/>
            <w:noWrap/>
            <w:vAlign w:val="bottom"/>
            <w:hideMark/>
          </w:tcPr>
          <w:p w14:paraId="240E802E"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69</w:t>
            </w:r>
          </w:p>
        </w:tc>
        <w:tc>
          <w:tcPr>
            <w:tcW w:w="1160" w:type="dxa"/>
            <w:tcBorders>
              <w:top w:val="nil"/>
              <w:left w:val="nil"/>
              <w:bottom w:val="single" w:sz="4" w:space="0" w:color="auto"/>
              <w:right w:val="single" w:sz="4" w:space="0" w:color="auto"/>
            </w:tcBorders>
            <w:shd w:val="clear" w:color="000000" w:fill="FFFFFF"/>
            <w:noWrap/>
            <w:vAlign w:val="bottom"/>
            <w:hideMark/>
          </w:tcPr>
          <w:p w14:paraId="5B581A0F"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2.5</w:t>
            </w:r>
          </w:p>
        </w:tc>
      </w:tr>
      <w:tr w:rsidR="00C147B4" w:rsidRPr="00C147B4" w14:paraId="524A221A"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588B51D4"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40-44</w:t>
            </w:r>
          </w:p>
        </w:tc>
        <w:tc>
          <w:tcPr>
            <w:tcW w:w="1020" w:type="dxa"/>
            <w:tcBorders>
              <w:top w:val="nil"/>
              <w:left w:val="nil"/>
              <w:bottom w:val="single" w:sz="4" w:space="0" w:color="auto"/>
              <w:right w:val="single" w:sz="4" w:space="0" w:color="auto"/>
            </w:tcBorders>
            <w:shd w:val="clear" w:color="auto" w:fill="auto"/>
            <w:noWrap/>
            <w:vAlign w:val="bottom"/>
            <w:hideMark/>
          </w:tcPr>
          <w:p w14:paraId="73CF099B"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27</w:t>
            </w:r>
          </w:p>
        </w:tc>
        <w:tc>
          <w:tcPr>
            <w:tcW w:w="1160" w:type="dxa"/>
            <w:tcBorders>
              <w:top w:val="nil"/>
              <w:left w:val="nil"/>
              <w:bottom w:val="single" w:sz="4" w:space="0" w:color="auto"/>
              <w:right w:val="single" w:sz="4" w:space="0" w:color="auto"/>
            </w:tcBorders>
            <w:shd w:val="clear" w:color="000000" w:fill="FFFFFF"/>
            <w:noWrap/>
            <w:vAlign w:val="bottom"/>
            <w:hideMark/>
          </w:tcPr>
          <w:p w14:paraId="68B0661C"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1.0</w:t>
            </w:r>
          </w:p>
        </w:tc>
      </w:tr>
      <w:tr w:rsidR="00C147B4" w:rsidRPr="00C147B4" w14:paraId="7505A77F" w14:textId="77777777" w:rsidTr="002A1A32">
        <w:trPr>
          <w:trHeight w:val="250"/>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010B28CC" w14:textId="77777777" w:rsidR="00C147B4" w:rsidRPr="00C147B4" w:rsidRDefault="00C147B4" w:rsidP="00C147B4">
            <w:pPr>
              <w:spacing w:after="0" w:line="240" w:lineRule="auto"/>
              <w:rPr>
                <w:rFonts w:ascii="Arial" w:eastAsia="Times New Roman" w:hAnsi="Arial" w:cs="Arial"/>
                <w:color w:val="000000"/>
                <w:sz w:val="20"/>
                <w:szCs w:val="20"/>
              </w:rPr>
            </w:pPr>
            <w:r w:rsidRPr="00C147B4">
              <w:rPr>
                <w:rFonts w:ascii="Arial" w:eastAsia="Times New Roman" w:hAnsi="Arial" w:cs="Arial"/>
                <w:color w:val="000000"/>
                <w:sz w:val="20"/>
                <w:szCs w:val="20"/>
              </w:rPr>
              <w:t>45-50</w:t>
            </w:r>
          </w:p>
        </w:tc>
        <w:tc>
          <w:tcPr>
            <w:tcW w:w="1020" w:type="dxa"/>
            <w:tcBorders>
              <w:top w:val="nil"/>
              <w:left w:val="nil"/>
              <w:bottom w:val="single" w:sz="4" w:space="0" w:color="auto"/>
              <w:right w:val="single" w:sz="4" w:space="0" w:color="auto"/>
            </w:tcBorders>
            <w:shd w:val="clear" w:color="auto" w:fill="auto"/>
            <w:noWrap/>
            <w:vAlign w:val="bottom"/>
            <w:hideMark/>
          </w:tcPr>
          <w:p w14:paraId="2428DC6C" w14:textId="77777777" w:rsidR="00C147B4" w:rsidRPr="00C147B4" w:rsidRDefault="00C147B4" w:rsidP="00C147B4">
            <w:pPr>
              <w:spacing w:after="0" w:line="240" w:lineRule="auto"/>
              <w:jc w:val="right"/>
              <w:rPr>
                <w:rFonts w:ascii="Arial" w:eastAsia="Times New Roman" w:hAnsi="Arial" w:cs="Arial"/>
                <w:color w:val="000000"/>
                <w:sz w:val="20"/>
                <w:szCs w:val="20"/>
              </w:rPr>
            </w:pPr>
            <w:r w:rsidRPr="00C147B4">
              <w:rPr>
                <w:rFonts w:ascii="Arial" w:eastAsia="Times New Roman" w:hAnsi="Arial" w:cs="Arial"/>
                <w:color w:val="000000"/>
                <w:sz w:val="20"/>
                <w:szCs w:val="20"/>
              </w:rPr>
              <w:t>4</w:t>
            </w:r>
          </w:p>
        </w:tc>
        <w:tc>
          <w:tcPr>
            <w:tcW w:w="1160" w:type="dxa"/>
            <w:tcBorders>
              <w:top w:val="nil"/>
              <w:left w:val="nil"/>
              <w:bottom w:val="single" w:sz="4" w:space="0" w:color="auto"/>
              <w:right w:val="single" w:sz="4" w:space="0" w:color="auto"/>
            </w:tcBorders>
            <w:shd w:val="clear" w:color="000000" w:fill="FFFFFF"/>
            <w:noWrap/>
            <w:vAlign w:val="bottom"/>
            <w:hideMark/>
          </w:tcPr>
          <w:p w14:paraId="4E9CEB8F" w14:textId="77777777" w:rsidR="00C147B4" w:rsidRPr="00C147B4" w:rsidRDefault="00C147B4" w:rsidP="00C147B4">
            <w:pPr>
              <w:spacing w:after="0" w:line="240" w:lineRule="auto"/>
              <w:jc w:val="right"/>
              <w:rPr>
                <w:rFonts w:ascii="Arial" w:eastAsia="Times New Roman" w:hAnsi="Arial" w:cs="Arial"/>
                <w:sz w:val="20"/>
                <w:szCs w:val="20"/>
              </w:rPr>
            </w:pPr>
            <w:r w:rsidRPr="00C147B4">
              <w:rPr>
                <w:rFonts w:ascii="Arial" w:eastAsia="Times New Roman" w:hAnsi="Arial" w:cs="Arial"/>
                <w:sz w:val="20"/>
                <w:szCs w:val="20"/>
              </w:rPr>
              <w:t>0.1</w:t>
            </w:r>
          </w:p>
        </w:tc>
      </w:tr>
      <w:tr w:rsidR="00C147B4" w:rsidRPr="00C147B4" w14:paraId="7B7A995E" w14:textId="77777777" w:rsidTr="002A1A32">
        <w:trPr>
          <w:trHeight w:val="260"/>
        </w:trPr>
        <w:tc>
          <w:tcPr>
            <w:tcW w:w="2580" w:type="dxa"/>
            <w:tcBorders>
              <w:top w:val="nil"/>
              <w:left w:val="single" w:sz="4" w:space="0" w:color="auto"/>
              <w:bottom w:val="single" w:sz="4" w:space="0" w:color="auto"/>
              <w:right w:val="single" w:sz="4" w:space="0" w:color="auto"/>
            </w:tcBorders>
            <w:shd w:val="clear" w:color="DDEBF7" w:fill="BFBFBF"/>
            <w:noWrap/>
            <w:vAlign w:val="bottom"/>
            <w:hideMark/>
          </w:tcPr>
          <w:p w14:paraId="74F7B3DC" w14:textId="77777777" w:rsidR="00C147B4" w:rsidRPr="00C147B4" w:rsidRDefault="00C147B4" w:rsidP="00C147B4">
            <w:pPr>
              <w:spacing w:after="0" w:line="240" w:lineRule="auto"/>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Grand Total</w:t>
            </w:r>
          </w:p>
        </w:tc>
        <w:tc>
          <w:tcPr>
            <w:tcW w:w="1020" w:type="dxa"/>
            <w:tcBorders>
              <w:top w:val="nil"/>
              <w:left w:val="nil"/>
              <w:bottom w:val="single" w:sz="4" w:space="0" w:color="auto"/>
              <w:right w:val="single" w:sz="4" w:space="0" w:color="auto"/>
            </w:tcBorders>
            <w:shd w:val="clear" w:color="DDEBF7" w:fill="BFBFBF"/>
            <w:noWrap/>
            <w:vAlign w:val="bottom"/>
            <w:hideMark/>
          </w:tcPr>
          <w:p w14:paraId="5DBC0185" w14:textId="77777777" w:rsidR="00C147B4" w:rsidRPr="00C147B4" w:rsidRDefault="00C147B4" w:rsidP="00C147B4">
            <w:pPr>
              <w:spacing w:after="0" w:line="240" w:lineRule="auto"/>
              <w:jc w:val="right"/>
              <w:rPr>
                <w:rFonts w:ascii="Arial" w:eastAsia="Times New Roman" w:hAnsi="Arial" w:cs="Arial"/>
                <w:b/>
                <w:bCs/>
                <w:color w:val="000000"/>
                <w:sz w:val="20"/>
                <w:szCs w:val="20"/>
              </w:rPr>
            </w:pPr>
            <w:r w:rsidRPr="00C147B4">
              <w:rPr>
                <w:rFonts w:ascii="Arial" w:eastAsia="Times New Roman" w:hAnsi="Arial" w:cs="Arial"/>
                <w:b/>
                <w:bCs/>
                <w:color w:val="000000"/>
                <w:sz w:val="20"/>
                <w:szCs w:val="20"/>
              </w:rPr>
              <w:t>2807</w:t>
            </w:r>
          </w:p>
        </w:tc>
        <w:tc>
          <w:tcPr>
            <w:tcW w:w="1160" w:type="dxa"/>
            <w:tcBorders>
              <w:top w:val="nil"/>
              <w:left w:val="nil"/>
              <w:bottom w:val="single" w:sz="4" w:space="0" w:color="auto"/>
              <w:right w:val="single" w:sz="4" w:space="0" w:color="auto"/>
            </w:tcBorders>
            <w:shd w:val="clear" w:color="000000" w:fill="BFBFBF"/>
            <w:noWrap/>
            <w:vAlign w:val="bottom"/>
            <w:hideMark/>
          </w:tcPr>
          <w:p w14:paraId="10933C3D" w14:textId="77777777" w:rsidR="00C147B4" w:rsidRPr="00C147B4" w:rsidRDefault="00C147B4" w:rsidP="00C147B4">
            <w:pPr>
              <w:spacing w:after="0" w:line="240" w:lineRule="auto"/>
              <w:jc w:val="right"/>
              <w:rPr>
                <w:rFonts w:ascii="Arial" w:eastAsia="Times New Roman" w:hAnsi="Arial" w:cs="Arial"/>
                <w:b/>
                <w:bCs/>
                <w:sz w:val="20"/>
                <w:szCs w:val="20"/>
              </w:rPr>
            </w:pPr>
            <w:r w:rsidRPr="00C147B4">
              <w:rPr>
                <w:rFonts w:ascii="Arial" w:eastAsia="Times New Roman" w:hAnsi="Arial" w:cs="Arial"/>
                <w:b/>
                <w:bCs/>
                <w:sz w:val="20"/>
                <w:szCs w:val="20"/>
              </w:rPr>
              <w:t>100.0</w:t>
            </w:r>
          </w:p>
        </w:tc>
      </w:tr>
    </w:tbl>
    <w:p w14:paraId="15DCB3E9" w14:textId="19E27119" w:rsidR="00C147B4" w:rsidRDefault="00C147B4" w:rsidP="00C147B4">
      <w:pPr>
        <w:rPr>
          <w:rFonts w:ascii="Calibri" w:eastAsia="Times New Roman" w:hAnsi="Calibri" w:cs="Arial"/>
          <w:sz w:val="24"/>
          <w:szCs w:val="24"/>
        </w:rPr>
      </w:pPr>
      <w:r w:rsidRPr="00C147B4">
        <w:rPr>
          <w:rFonts w:ascii="Calibri" w:eastAsia="Times New Roman" w:hAnsi="Calibri" w:cs="Times New Roman"/>
          <w:noProof/>
        </w:rPr>
        <w:drawing>
          <wp:inline distT="0" distB="0" distL="0" distR="0" wp14:anchorId="382C7DDE" wp14:editId="1DE575A8">
            <wp:extent cx="4838700" cy="2279650"/>
            <wp:effectExtent l="0" t="0" r="0" b="6350"/>
            <wp:docPr id="5" name="Chart 5">
              <a:extLst xmlns:a="http://schemas.openxmlformats.org/drawingml/2006/main">
                <a:ext uri="{FF2B5EF4-FFF2-40B4-BE49-F238E27FC236}">
                  <a16:creationId xmlns:a16="http://schemas.microsoft.com/office/drawing/2014/main" id="{341AE2A0-40ED-4FDE-994D-B73B75A62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199849" w14:textId="77777777" w:rsidR="002A1A32" w:rsidRPr="00C147B4" w:rsidRDefault="002A1A32" w:rsidP="00C147B4">
      <w:pPr>
        <w:rPr>
          <w:rFonts w:ascii="Calibri" w:eastAsia="Times New Roman" w:hAnsi="Calibri" w:cs="Arial"/>
          <w:sz w:val="24"/>
          <w:szCs w:val="24"/>
        </w:rPr>
      </w:pPr>
    </w:p>
    <w:p w14:paraId="4EEEB9E0" w14:textId="77777777"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Maternity </w:t>
      </w:r>
    </w:p>
    <w:p w14:paraId="375DA41C" w14:textId="158D944B"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 xml:space="preserve">During 2020 135 women had a period of maternity leave and returned, 2 people took shared parental leave.  Without going in to each individual’s personnel file it is not possible to find out if those that took maternity/shared parental leave were still in post after the 3 months that they need to return to avoid having to pay back occupational maternity /shared parental leave pay.  </w:t>
      </w:r>
    </w:p>
    <w:p w14:paraId="1E6DA8EE" w14:textId="77777777" w:rsidR="00C147B4" w:rsidRPr="00C147B4" w:rsidRDefault="00C147B4" w:rsidP="00C147B4">
      <w:pPr>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lastRenderedPageBreak/>
        <w:t>Employee Relations</w:t>
      </w:r>
    </w:p>
    <w:p w14:paraId="6FF6755F" w14:textId="77777777" w:rsidR="00C147B4" w:rsidRPr="00C147B4" w:rsidRDefault="00C147B4" w:rsidP="00C147B4">
      <w:pPr>
        <w:rPr>
          <w:rFonts w:ascii="Calibri" w:eastAsia="Times New Roman" w:hAnsi="Calibri" w:cs="Arial"/>
          <w:color w:val="E36C0A"/>
          <w:sz w:val="24"/>
          <w:szCs w:val="24"/>
        </w:rPr>
      </w:pPr>
      <w:r w:rsidRPr="00C147B4">
        <w:rPr>
          <w:rFonts w:ascii="Calibri" w:eastAsia="Times New Roman" w:hAnsi="Calibri" w:cs="Arial"/>
          <w:sz w:val="24"/>
          <w:szCs w:val="24"/>
        </w:rPr>
        <w:t>From 1 April 2010 to 31st March 2020 there were no grievances that were raised as racist, disablist, homophobic or sexist. There were no actions that were subject to discipline relating to racism, sexism or to disable-ism.</w:t>
      </w:r>
      <w:r w:rsidRPr="00C147B4">
        <w:rPr>
          <w:rFonts w:ascii="Calibri" w:eastAsia="Times New Roman" w:hAnsi="Calibri" w:cs="Arial"/>
          <w:color w:val="E36C0A"/>
          <w:sz w:val="24"/>
          <w:szCs w:val="24"/>
        </w:rPr>
        <w:t xml:space="preserve">  </w:t>
      </w:r>
    </w:p>
    <w:p w14:paraId="5D019F37" w14:textId="77777777" w:rsidR="00C147B4" w:rsidRPr="00C147B4" w:rsidRDefault="00C147B4" w:rsidP="00C147B4">
      <w:pPr>
        <w:rPr>
          <w:rFonts w:ascii="Calibri" w:eastAsia="Times New Roman" w:hAnsi="Calibri" w:cs="Arial"/>
          <w:color w:val="E36C0A"/>
          <w:sz w:val="24"/>
          <w:szCs w:val="24"/>
        </w:rPr>
      </w:pPr>
      <w:r w:rsidRPr="00C147B4">
        <w:rPr>
          <w:rFonts w:ascii="Calibri" w:eastAsia="Times New Roman" w:hAnsi="Calibri" w:cs="Arial"/>
          <w:sz w:val="24"/>
          <w:szCs w:val="24"/>
        </w:rPr>
        <w:t xml:space="preserve">From 1 April 2019 to 31st March 2020 - 9 grievances were lodged 7 were logged by women, 2 by man, one identified as disabled and 1 from a BME background.  No cases resulted in dismissal. </w:t>
      </w:r>
    </w:p>
    <w:p w14:paraId="71D9430E" w14:textId="260088F8" w:rsidR="00C147B4" w:rsidRPr="00C147B4" w:rsidRDefault="00C147B4" w:rsidP="00C147B4">
      <w:pPr>
        <w:rPr>
          <w:rFonts w:ascii="Calibri" w:eastAsia="Times New Roman" w:hAnsi="Calibri" w:cs="Arial"/>
          <w:color w:val="E36C0A"/>
          <w:sz w:val="24"/>
          <w:szCs w:val="24"/>
        </w:rPr>
      </w:pPr>
      <w:r w:rsidRPr="00C147B4">
        <w:rPr>
          <w:rFonts w:ascii="Calibri" w:eastAsia="Times New Roman" w:hAnsi="Calibri" w:cs="Arial"/>
          <w:sz w:val="24"/>
          <w:szCs w:val="24"/>
        </w:rPr>
        <w:t>From 1 April 2019 to 31st March 2020 - 25 employees were subject to disciplinary action.  8 were female, one of the females identified as disabled, none identified as being from a BME background</w:t>
      </w:r>
      <w:r w:rsidRPr="00C147B4">
        <w:rPr>
          <w:rFonts w:ascii="Arial" w:eastAsia="Times New Roman" w:hAnsi="Arial" w:cs="Arial"/>
          <w:sz w:val="24"/>
          <w:szCs w:val="24"/>
        </w:rPr>
        <w:t xml:space="preserve">. </w:t>
      </w:r>
      <w:r w:rsidRPr="00C147B4">
        <w:rPr>
          <w:rFonts w:ascii="Calibri" w:eastAsia="Times New Roman" w:hAnsi="Calibri" w:cs="Arial"/>
          <w:sz w:val="24"/>
          <w:szCs w:val="24"/>
        </w:rPr>
        <w:t>Of the 17 males, 2 males identified as disabled and none of the males identified as being from a BME background.  2 cases resulted in dismissal.</w:t>
      </w:r>
    </w:p>
    <w:p w14:paraId="36EE65A6" w14:textId="77777777" w:rsidR="00C147B4" w:rsidRPr="00C147B4" w:rsidRDefault="00C147B4" w:rsidP="00C147B4">
      <w:pPr>
        <w:spacing w:before="240"/>
        <w:rPr>
          <w:rFonts w:ascii="Calibri" w:eastAsia="Times New Roman" w:hAnsi="Calibri" w:cs="Times New Roman"/>
          <w:b/>
          <w:color w:val="365F91"/>
          <w:sz w:val="28"/>
          <w:szCs w:val="28"/>
        </w:rPr>
      </w:pPr>
      <w:r w:rsidRPr="00C147B4">
        <w:rPr>
          <w:rFonts w:ascii="Calibri" w:eastAsia="Times New Roman" w:hAnsi="Calibri" w:cs="Times New Roman"/>
          <w:b/>
          <w:color w:val="365F91"/>
          <w:sz w:val="28"/>
          <w:szCs w:val="28"/>
        </w:rPr>
        <w:t xml:space="preserve">Elected Officials  </w:t>
      </w:r>
    </w:p>
    <w:p w14:paraId="72BE6AFE" w14:textId="77777777"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 xml:space="preserve"> As of March 2021 Knowsley MBC has 44 elected officials.  Of these:  </w:t>
      </w:r>
    </w:p>
    <w:p w14:paraId="0E1B7C60" w14:textId="77777777" w:rsidR="00C147B4" w:rsidRPr="00C147B4" w:rsidRDefault="00C147B4" w:rsidP="00C147B4">
      <w:pPr>
        <w:numPr>
          <w:ilvl w:val="0"/>
          <w:numId w:val="43"/>
        </w:numPr>
        <w:contextualSpacing/>
        <w:rPr>
          <w:rFonts w:ascii="Calibri" w:eastAsia="Times New Roman" w:hAnsi="Calibri" w:cs="Arial"/>
          <w:sz w:val="24"/>
          <w:szCs w:val="24"/>
        </w:rPr>
      </w:pPr>
      <w:r w:rsidRPr="00C147B4">
        <w:rPr>
          <w:rFonts w:ascii="Calibri" w:eastAsia="Times New Roman" w:hAnsi="Calibri" w:cs="Arial"/>
          <w:sz w:val="24"/>
          <w:szCs w:val="24"/>
        </w:rPr>
        <w:t xml:space="preserve">57% are male, 43% female; </w:t>
      </w:r>
    </w:p>
    <w:p w14:paraId="4F7F2A25" w14:textId="77777777" w:rsidR="00C147B4" w:rsidRPr="00C147B4" w:rsidRDefault="00C147B4" w:rsidP="00C147B4">
      <w:pPr>
        <w:numPr>
          <w:ilvl w:val="0"/>
          <w:numId w:val="43"/>
        </w:numPr>
        <w:contextualSpacing/>
        <w:rPr>
          <w:rFonts w:ascii="Calibri" w:eastAsia="Times New Roman" w:hAnsi="Calibri" w:cs="Arial"/>
          <w:sz w:val="24"/>
          <w:szCs w:val="24"/>
        </w:rPr>
      </w:pPr>
      <w:r w:rsidRPr="00C147B4">
        <w:rPr>
          <w:rFonts w:ascii="Calibri" w:eastAsia="Times New Roman" w:hAnsi="Calibri" w:cs="Arial"/>
          <w:sz w:val="24"/>
          <w:szCs w:val="24"/>
        </w:rPr>
        <w:t xml:space="preserve">There are no councillors from BME background; </w:t>
      </w:r>
    </w:p>
    <w:p w14:paraId="5C809AEA" w14:textId="77777777" w:rsidR="00C147B4" w:rsidRPr="00C147B4" w:rsidRDefault="00C147B4" w:rsidP="00C147B4">
      <w:pPr>
        <w:numPr>
          <w:ilvl w:val="0"/>
          <w:numId w:val="43"/>
        </w:numPr>
        <w:contextualSpacing/>
        <w:rPr>
          <w:rFonts w:ascii="Calibri" w:eastAsia="Times New Roman" w:hAnsi="Calibri" w:cs="Arial"/>
          <w:sz w:val="24"/>
          <w:szCs w:val="24"/>
        </w:rPr>
      </w:pPr>
      <w:r w:rsidRPr="00C147B4">
        <w:rPr>
          <w:rFonts w:ascii="Calibri" w:eastAsia="Times New Roman" w:hAnsi="Calibri" w:cs="Arial"/>
          <w:sz w:val="24"/>
          <w:szCs w:val="24"/>
        </w:rPr>
        <w:t>68.4% are Christian, 26.3% have no religion; 5.3% are Jewish;</w:t>
      </w:r>
    </w:p>
    <w:p w14:paraId="4CC3FC2B" w14:textId="77777777" w:rsidR="00C147B4" w:rsidRPr="00C147B4" w:rsidRDefault="00C147B4" w:rsidP="00C147B4">
      <w:pPr>
        <w:numPr>
          <w:ilvl w:val="0"/>
          <w:numId w:val="43"/>
        </w:numPr>
        <w:contextualSpacing/>
        <w:rPr>
          <w:rFonts w:ascii="Calibri" w:eastAsia="Times New Roman" w:hAnsi="Calibri" w:cs="Arial"/>
          <w:sz w:val="24"/>
          <w:szCs w:val="24"/>
        </w:rPr>
      </w:pPr>
      <w:r w:rsidRPr="00C147B4">
        <w:rPr>
          <w:rFonts w:ascii="Calibri" w:eastAsia="Times New Roman" w:hAnsi="Calibri" w:cs="Arial"/>
          <w:sz w:val="24"/>
          <w:szCs w:val="24"/>
        </w:rPr>
        <w:t xml:space="preserve">50% consider themselves to be disabled.   </w:t>
      </w:r>
    </w:p>
    <w:p w14:paraId="50851234" w14:textId="77777777" w:rsidR="003D0CE2" w:rsidRDefault="003D0CE2" w:rsidP="00C147B4">
      <w:pPr>
        <w:rPr>
          <w:rFonts w:ascii="Calibri" w:eastAsia="Times New Roman" w:hAnsi="Calibri" w:cs="Arial"/>
          <w:sz w:val="24"/>
          <w:szCs w:val="24"/>
        </w:rPr>
      </w:pPr>
    </w:p>
    <w:p w14:paraId="15ADCC73" w14:textId="7006D0CC" w:rsidR="00C147B4" w:rsidRPr="00C147B4" w:rsidRDefault="00C147B4" w:rsidP="00C147B4">
      <w:pPr>
        <w:rPr>
          <w:rFonts w:ascii="Calibri" w:eastAsia="Times New Roman" w:hAnsi="Calibri" w:cs="Arial"/>
          <w:sz w:val="24"/>
          <w:szCs w:val="24"/>
        </w:rPr>
      </w:pPr>
      <w:r w:rsidRPr="00C147B4">
        <w:rPr>
          <w:rFonts w:ascii="Calibri" w:eastAsia="Times New Roman" w:hAnsi="Calibri" w:cs="Arial"/>
          <w:sz w:val="24"/>
          <w:szCs w:val="24"/>
        </w:rPr>
        <w:t>Electoral candidates are chosen within political parties and cannot be influenced by Knowsley Council.  However, it is important that the elected officials and the residents know if the makeup of the elected officials is reflective of the Knowsley borough demographics. The IPPR published a report in August 2017 entitled “Power to the People? Tackling the gender imbalance in combined authorities’ and local government"; the report highlights what needs to be done to ensure more women enter into politics.</w:t>
      </w:r>
    </w:p>
    <w:p w14:paraId="42033411" w14:textId="77777777" w:rsidR="00122D12" w:rsidRPr="005A75C7" w:rsidRDefault="00122D12" w:rsidP="003C1EB5">
      <w:pPr>
        <w:spacing w:after="0" w:line="240" w:lineRule="auto"/>
        <w:ind w:left="2835" w:hanging="2835"/>
        <w:jc w:val="both"/>
        <w:rPr>
          <w:rFonts w:ascii="Arial" w:eastAsia="Calibri" w:hAnsi="Arial" w:cs="Arial"/>
          <w:sz w:val="24"/>
          <w:szCs w:val="24"/>
        </w:rPr>
      </w:pPr>
    </w:p>
    <w:sectPr w:rsidR="00122D12" w:rsidRPr="005A75C7" w:rsidSect="002A1A32">
      <w:footerReference w:type="default" r:id="rId20"/>
      <w:pgSz w:w="16838" w:h="11906" w:orient="landscape"/>
      <w:pgMar w:top="1440" w:right="1440" w:bottom="1440" w:left="1440"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4DDE0" w14:textId="77777777" w:rsidR="00A43098" w:rsidRDefault="00A43098" w:rsidP="00040614">
      <w:pPr>
        <w:spacing w:after="0" w:line="240" w:lineRule="auto"/>
      </w:pPr>
      <w:r>
        <w:separator/>
      </w:r>
    </w:p>
  </w:endnote>
  <w:endnote w:type="continuationSeparator" w:id="0">
    <w:p w14:paraId="646A290C" w14:textId="77777777" w:rsidR="00A43098" w:rsidRDefault="00A43098" w:rsidP="00040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63634"/>
      <w:docPartObj>
        <w:docPartGallery w:val="Page Numbers (Bottom of Page)"/>
        <w:docPartUnique/>
      </w:docPartObj>
    </w:sdtPr>
    <w:sdtEndPr>
      <w:rPr>
        <w:color w:val="7F7F7F"/>
        <w:spacing w:val="60"/>
      </w:rPr>
    </w:sdtEndPr>
    <w:sdtContent>
      <w:p w14:paraId="1D8119F7" w14:textId="1AD83047" w:rsidR="0001428F" w:rsidRDefault="0001428F" w:rsidP="00C147B4">
        <w:pPr>
          <w:pStyle w:val="Footer"/>
          <w:pBdr>
            <w:top w:val="single" w:sz="4" w:space="1" w:color="D9D9D9"/>
          </w:pBdr>
          <w:jc w:val="right"/>
        </w:pPr>
        <w:r>
          <w:fldChar w:fldCharType="begin"/>
        </w:r>
        <w:r>
          <w:instrText xml:space="preserve"> PAGE   \* MERGEFORMAT </w:instrText>
        </w:r>
        <w:r>
          <w:fldChar w:fldCharType="separate"/>
        </w:r>
        <w:r w:rsidR="00675119">
          <w:rPr>
            <w:noProof/>
          </w:rPr>
          <w:t>20</w:t>
        </w:r>
        <w:r>
          <w:rPr>
            <w:noProof/>
          </w:rPr>
          <w:fldChar w:fldCharType="end"/>
        </w:r>
        <w:r>
          <w:t xml:space="preserve"> | </w:t>
        </w:r>
        <w:r w:rsidRPr="00C147B4">
          <w:rPr>
            <w:color w:val="7F7F7F"/>
            <w:spacing w:val="60"/>
          </w:rPr>
          <w:t>Page</w:t>
        </w:r>
      </w:p>
    </w:sdtContent>
  </w:sdt>
  <w:p w14:paraId="7CCDCE27" w14:textId="77777777" w:rsidR="0001428F" w:rsidRDefault="00014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6DF75" w14:textId="77777777" w:rsidR="00A43098" w:rsidRDefault="00A43098" w:rsidP="00040614">
      <w:pPr>
        <w:spacing w:after="0" w:line="240" w:lineRule="auto"/>
      </w:pPr>
      <w:r>
        <w:separator/>
      </w:r>
    </w:p>
  </w:footnote>
  <w:footnote w:type="continuationSeparator" w:id="0">
    <w:p w14:paraId="415C3F76" w14:textId="77777777" w:rsidR="00A43098" w:rsidRDefault="00A43098" w:rsidP="00040614">
      <w:pPr>
        <w:spacing w:after="0" w:line="240" w:lineRule="auto"/>
      </w:pPr>
      <w:r>
        <w:continuationSeparator/>
      </w:r>
    </w:p>
  </w:footnote>
  <w:footnote w:id="1">
    <w:p w14:paraId="06DF76DE" w14:textId="77777777" w:rsidR="0001428F" w:rsidRPr="006F348B" w:rsidRDefault="0001428F" w:rsidP="00C147B4">
      <w:pPr>
        <w:rPr>
          <w:rFonts w:cs="Arial"/>
          <w:sz w:val="18"/>
          <w:szCs w:val="18"/>
        </w:rPr>
      </w:pPr>
      <w:r w:rsidRPr="005B44E6">
        <w:rPr>
          <w:rStyle w:val="FootnoteReference"/>
          <w:sz w:val="18"/>
          <w:szCs w:val="18"/>
        </w:rPr>
        <w:footnoteRef/>
      </w:r>
      <w:r w:rsidRPr="005B44E6">
        <w:rPr>
          <w:sz w:val="18"/>
          <w:szCs w:val="18"/>
        </w:rPr>
        <w:t xml:space="preserve"> </w:t>
      </w:r>
      <w:r w:rsidRPr="005B44E6">
        <w:rPr>
          <w:rFonts w:cs="Arial"/>
          <w:sz w:val="18"/>
          <w:szCs w:val="18"/>
        </w:rPr>
        <w:t>Revised (second) edition, 19 December 2011</w:t>
      </w:r>
      <w:r w:rsidRPr="006F348B">
        <w:rPr>
          <w:rFonts w:cs="Arial"/>
          <w:sz w:val="18"/>
          <w:szCs w:val="18"/>
        </w:rPr>
        <w:t xml:space="preserve"> </w:t>
      </w:r>
    </w:p>
    <w:p w14:paraId="45DFC50A" w14:textId="77777777" w:rsidR="0001428F" w:rsidRDefault="0001428F" w:rsidP="00C147B4">
      <w:pPr>
        <w:pStyle w:val="FootnoteText"/>
      </w:pPr>
    </w:p>
  </w:footnote>
  <w:footnote w:id="2">
    <w:p w14:paraId="3496F8C9" w14:textId="77777777" w:rsidR="0001428F" w:rsidRDefault="0001428F" w:rsidP="00C147B4">
      <w:pPr>
        <w:pStyle w:val="FootnoteText"/>
      </w:pPr>
      <w:r>
        <w:rPr>
          <w:rStyle w:val="FootnoteReference"/>
        </w:rPr>
        <w:footnoteRef/>
      </w:r>
      <w:r>
        <w:t xml:space="preserve"> 2011 Census</w:t>
      </w:r>
    </w:p>
  </w:footnote>
  <w:footnote w:id="3">
    <w:p w14:paraId="1ED2FCEE" w14:textId="77777777" w:rsidR="0001428F" w:rsidRDefault="0001428F" w:rsidP="00C147B4">
      <w:pPr>
        <w:spacing w:after="0" w:line="240" w:lineRule="auto"/>
      </w:pPr>
      <w:r>
        <w:rPr>
          <w:rStyle w:val="FootnoteReference"/>
        </w:rPr>
        <w:footnoteRef/>
      </w:r>
      <w:r>
        <w:t xml:space="preserve"> </w:t>
      </w:r>
      <w:r w:rsidRPr="00E43BA0">
        <w:rPr>
          <w:rFonts w:cs="Arial"/>
          <w:sz w:val="16"/>
          <w:szCs w:val="16"/>
        </w:rPr>
        <w:t>Reported</w:t>
      </w:r>
      <w:r>
        <w:rPr>
          <w:rFonts w:cs="Arial"/>
          <w:sz w:val="16"/>
          <w:szCs w:val="16"/>
        </w:rPr>
        <w:t xml:space="preserve"> by the Office for National Statistics as of March 2020</w:t>
      </w:r>
    </w:p>
  </w:footnote>
  <w:footnote w:id="4">
    <w:p w14:paraId="1F3DFBFF" w14:textId="77777777" w:rsidR="0001428F" w:rsidRPr="00A925A8" w:rsidRDefault="0001428F" w:rsidP="00C147B4">
      <w:pPr>
        <w:pStyle w:val="FootnoteText"/>
        <w:rPr>
          <w:rFonts w:cs="Arial"/>
          <w:sz w:val="16"/>
          <w:szCs w:val="16"/>
        </w:rPr>
      </w:pPr>
      <w:r>
        <w:rPr>
          <w:rStyle w:val="FootnoteReference"/>
        </w:rPr>
        <w:footnoteRef/>
      </w:r>
      <w:r>
        <w:t xml:space="preserve"> </w:t>
      </w:r>
      <w:r w:rsidRPr="00A925A8">
        <w:rPr>
          <w:rFonts w:cs="Arial"/>
          <w:sz w:val="16"/>
          <w:szCs w:val="16"/>
        </w:rPr>
        <w:t>Based on data taken from the 2011 Census.</w:t>
      </w:r>
    </w:p>
  </w:footnote>
  <w:footnote w:id="5">
    <w:p w14:paraId="27F92EB2" w14:textId="77777777" w:rsidR="0001428F" w:rsidRDefault="0001428F" w:rsidP="00C147B4">
      <w:pPr>
        <w:pStyle w:val="FootnoteText"/>
      </w:pPr>
      <w:r>
        <w:rPr>
          <w:rStyle w:val="FootnoteReference"/>
        </w:rPr>
        <w:footnoteRef/>
      </w:r>
      <w:r>
        <w:t xml:space="preserve"> </w:t>
      </w:r>
      <w:r w:rsidRPr="003E3AAC">
        <w:rPr>
          <w:rFonts w:cs="Arial"/>
          <w:sz w:val="16"/>
          <w:szCs w:val="16"/>
        </w:rPr>
        <w:t>2011 Census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A00"/>
    <w:multiLevelType w:val="multilevel"/>
    <w:tmpl w:val="373C5A0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6F934E2"/>
    <w:multiLevelType w:val="hybridMultilevel"/>
    <w:tmpl w:val="EEDAC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F6690"/>
    <w:multiLevelType w:val="hybridMultilevel"/>
    <w:tmpl w:val="DA5C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830B2"/>
    <w:multiLevelType w:val="multilevel"/>
    <w:tmpl w:val="8FA659A8"/>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D261615"/>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5" w15:restartNumberingAfterBreak="0">
    <w:nsid w:val="0E795FEB"/>
    <w:multiLevelType w:val="multilevel"/>
    <w:tmpl w:val="E83274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F19680E"/>
    <w:multiLevelType w:val="multilevel"/>
    <w:tmpl w:val="4D10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E3DCF"/>
    <w:multiLevelType w:val="multilevel"/>
    <w:tmpl w:val="BD5A9662"/>
    <w:lvl w:ilvl="0">
      <w:start w:val="2"/>
      <w:numFmt w:val="decimal"/>
      <w:lvlText w:val="%1"/>
      <w:lvlJc w:val="left"/>
      <w:pPr>
        <w:ind w:left="360" w:hanging="360"/>
      </w:pPr>
      <w:rPr>
        <w:rFonts w:hint="default"/>
      </w:rPr>
    </w:lvl>
    <w:lvl w:ilvl="1">
      <w:start w:val="2"/>
      <w:numFmt w:val="decimal"/>
      <w:lvlText w:val="%1.%2"/>
      <w:lvlJc w:val="left"/>
      <w:pPr>
        <w:ind w:left="1392" w:hanging="36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4176" w:hanging="108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8" w15:restartNumberingAfterBreak="0">
    <w:nsid w:val="12266AA4"/>
    <w:multiLevelType w:val="hybridMultilevel"/>
    <w:tmpl w:val="C716428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 w15:restartNumberingAfterBreak="0">
    <w:nsid w:val="13A671A6"/>
    <w:multiLevelType w:val="hybridMultilevel"/>
    <w:tmpl w:val="8AF8AF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395BAA"/>
    <w:multiLevelType w:val="hybridMultilevel"/>
    <w:tmpl w:val="50009A80"/>
    <w:lvl w:ilvl="0" w:tplc="C504E024">
      <w:numFmt w:val="bullet"/>
      <w:lvlText w:val="-"/>
      <w:lvlJc w:val="left"/>
      <w:pPr>
        <w:ind w:left="660" w:hanging="360"/>
      </w:pPr>
      <w:rPr>
        <w:rFonts w:ascii="Arial" w:eastAsiaTheme="minorHAnsi" w:hAnsi="Arial" w:cs="Aria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1" w15:restartNumberingAfterBreak="0">
    <w:nsid w:val="17636207"/>
    <w:multiLevelType w:val="hybridMultilevel"/>
    <w:tmpl w:val="93FA514A"/>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8CF7752"/>
    <w:multiLevelType w:val="hybridMultilevel"/>
    <w:tmpl w:val="9140A75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15:restartNumberingAfterBreak="0">
    <w:nsid w:val="1BE0125C"/>
    <w:multiLevelType w:val="hybridMultilevel"/>
    <w:tmpl w:val="06E4BD02"/>
    <w:lvl w:ilvl="0" w:tplc="1A76782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426724F"/>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3B60C9"/>
    <w:multiLevelType w:val="multilevel"/>
    <w:tmpl w:val="9ADC7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3A7F72"/>
    <w:multiLevelType w:val="hybridMultilevel"/>
    <w:tmpl w:val="FB907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A1B25"/>
    <w:multiLevelType w:val="hybridMultilevel"/>
    <w:tmpl w:val="0CEE6D8A"/>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775BDF"/>
    <w:multiLevelType w:val="hybridMultilevel"/>
    <w:tmpl w:val="F95012A0"/>
    <w:lvl w:ilvl="0" w:tplc="E9784F06">
      <w:start w:val="2"/>
      <w:numFmt w:val="bullet"/>
      <w:lvlText w:val="-"/>
      <w:lvlJc w:val="left"/>
      <w:pPr>
        <w:ind w:left="1284" w:hanging="360"/>
      </w:pPr>
      <w:rPr>
        <w:rFonts w:ascii="Arial" w:eastAsia="Calibri" w:hAnsi="Arial" w:cs="Arial" w:hint="default"/>
      </w:rPr>
    </w:lvl>
    <w:lvl w:ilvl="1" w:tplc="08090003" w:tentative="1">
      <w:start w:val="1"/>
      <w:numFmt w:val="bullet"/>
      <w:lvlText w:val="o"/>
      <w:lvlJc w:val="left"/>
      <w:pPr>
        <w:ind w:left="2004" w:hanging="360"/>
      </w:pPr>
      <w:rPr>
        <w:rFonts w:ascii="Courier New" w:hAnsi="Courier New" w:cs="Courier New" w:hint="default"/>
      </w:rPr>
    </w:lvl>
    <w:lvl w:ilvl="2" w:tplc="08090005" w:tentative="1">
      <w:start w:val="1"/>
      <w:numFmt w:val="bullet"/>
      <w:lvlText w:val=""/>
      <w:lvlJc w:val="left"/>
      <w:pPr>
        <w:ind w:left="2724" w:hanging="360"/>
      </w:pPr>
      <w:rPr>
        <w:rFonts w:ascii="Wingdings" w:hAnsi="Wingdings" w:hint="default"/>
      </w:rPr>
    </w:lvl>
    <w:lvl w:ilvl="3" w:tplc="08090001" w:tentative="1">
      <w:start w:val="1"/>
      <w:numFmt w:val="bullet"/>
      <w:lvlText w:val=""/>
      <w:lvlJc w:val="left"/>
      <w:pPr>
        <w:ind w:left="3444" w:hanging="360"/>
      </w:pPr>
      <w:rPr>
        <w:rFonts w:ascii="Symbol" w:hAnsi="Symbol" w:hint="default"/>
      </w:rPr>
    </w:lvl>
    <w:lvl w:ilvl="4" w:tplc="08090003" w:tentative="1">
      <w:start w:val="1"/>
      <w:numFmt w:val="bullet"/>
      <w:lvlText w:val="o"/>
      <w:lvlJc w:val="left"/>
      <w:pPr>
        <w:ind w:left="4164" w:hanging="360"/>
      </w:pPr>
      <w:rPr>
        <w:rFonts w:ascii="Courier New" w:hAnsi="Courier New" w:cs="Courier New" w:hint="default"/>
      </w:rPr>
    </w:lvl>
    <w:lvl w:ilvl="5" w:tplc="08090005" w:tentative="1">
      <w:start w:val="1"/>
      <w:numFmt w:val="bullet"/>
      <w:lvlText w:val=""/>
      <w:lvlJc w:val="left"/>
      <w:pPr>
        <w:ind w:left="4884" w:hanging="360"/>
      </w:pPr>
      <w:rPr>
        <w:rFonts w:ascii="Wingdings" w:hAnsi="Wingdings" w:hint="default"/>
      </w:rPr>
    </w:lvl>
    <w:lvl w:ilvl="6" w:tplc="08090001" w:tentative="1">
      <w:start w:val="1"/>
      <w:numFmt w:val="bullet"/>
      <w:lvlText w:val=""/>
      <w:lvlJc w:val="left"/>
      <w:pPr>
        <w:ind w:left="5604" w:hanging="360"/>
      </w:pPr>
      <w:rPr>
        <w:rFonts w:ascii="Symbol" w:hAnsi="Symbol" w:hint="default"/>
      </w:rPr>
    </w:lvl>
    <w:lvl w:ilvl="7" w:tplc="08090003" w:tentative="1">
      <w:start w:val="1"/>
      <w:numFmt w:val="bullet"/>
      <w:lvlText w:val="o"/>
      <w:lvlJc w:val="left"/>
      <w:pPr>
        <w:ind w:left="6324" w:hanging="360"/>
      </w:pPr>
      <w:rPr>
        <w:rFonts w:ascii="Courier New" w:hAnsi="Courier New" w:cs="Courier New" w:hint="default"/>
      </w:rPr>
    </w:lvl>
    <w:lvl w:ilvl="8" w:tplc="08090005" w:tentative="1">
      <w:start w:val="1"/>
      <w:numFmt w:val="bullet"/>
      <w:lvlText w:val=""/>
      <w:lvlJc w:val="left"/>
      <w:pPr>
        <w:ind w:left="7044" w:hanging="360"/>
      </w:pPr>
      <w:rPr>
        <w:rFonts w:ascii="Wingdings" w:hAnsi="Wingdings" w:hint="default"/>
      </w:rPr>
    </w:lvl>
  </w:abstractNum>
  <w:abstractNum w:abstractNumId="19" w15:restartNumberingAfterBreak="0">
    <w:nsid w:val="32F23439"/>
    <w:multiLevelType w:val="hybridMultilevel"/>
    <w:tmpl w:val="54327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CB3BFE"/>
    <w:multiLevelType w:val="multilevel"/>
    <w:tmpl w:val="6C6CF6AE"/>
    <w:lvl w:ilvl="0">
      <w:start w:val="2"/>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1" w15:restartNumberingAfterBreak="0">
    <w:nsid w:val="3C0002E5"/>
    <w:multiLevelType w:val="hybridMultilevel"/>
    <w:tmpl w:val="88CE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714AE1"/>
    <w:multiLevelType w:val="hybridMultilevel"/>
    <w:tmpl w:val="A05A1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D23A2"/>
    <w:multiLevelType w:val="hybridMultilevel"/>
    <w:tmpl w:val="FB58200E"/>
    <w:lvl w:ilvl="0" w:tplc="16005D0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B386E"/>
    <w:multiLevelType w:val="hybridMultilevel"/>
    <w:tmpl w:val="D66A228A"/>
    <w:lvl w:ilvl="0" w:tplc="08090001">
      <w:start w:val="1"/>
      <w:numFmt w:val="bullet"/>
      <w:lvlText w:val=""/>
      <w:lvlJc w:val="left"/>
      <w:pPr>
        <w:ind w:left="128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6356B"/>
    <w:multiLevelType w:val="multilevel"/>
    <w:tmpl w:val="04989E74"/>
    <w:lvl w:ilvl="0">
      <w:start w:val="3"/>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6090F32"/>
    <w:multiLevelType w:val="hybridMultilevel"/>
    <w:tmpl w:val="26C6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AA64D6"/>
    <w:multiLevelType w:val="hybridMultilevel"/>
    <w:tmpl w:val="584CF206"/>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8C7864"/>
    <w:multiLevelType w:val="hybridMultilevel"/>
    <w:tmpl w:val="D30E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05B8F"/>
    <w:multiLevelType w:val="hybridMultilevel"/>
    <w:tmpl w:val="7AE880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F32E5B"/>
    <w:multiLevelType w:val="multilevel"/>
    <w:tmpl w:val="904411AC"/>
    <w:lvl w:ilvl="0">
      <w:start w:val="4"/>
      <w:numFmt w:val="decimal"/>
      <w:lvlText w:val="%1."/>
      <w:lvlJc w:val="left"/>
      <w:pPr>
        <w:ind w:left="720" w:hanging="360"/>
      </w:pPr>
      <w:rPr>
        <w:rFonts w:hint="default"/>
      </w:rPr>
    </w:lvl>
    <w:lvl w:ilvl="1">
      <w:start w:val="1"/>
      <w:numFmt w:val="decimal"/>
      <w:isLgl/>
      <w:lvlText w:val="%1.%2"/>
      <w:lvlJc w:val="left"/>
      <w:pPr>
        <w:ind w:left="1032" w:hanging="6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DED2959"/>
    <w:multiLevelType w:val="hybridMultilevel"/>
    <w:tmpl w:val="755E2452"/>
    <w:lvl w:ilvl="0" w:tplc="76B6AE34">
      <w:numFmt w:val="bullet"/>
      <w:lvlText w:val="-"/>
      <w:lvlJc w:val="left"/>
      <w:pPr>
        <w:ind w:left="516" w:hanging="360"/>
      </w:pPr>
      <w:rPr>
        <w:rFonts w:ascii="Calibri" w:eastAsia="Calibri" w:hAnsi="Calibri" w:cs="Calibri" w:hint="default"/>
      </w:rPr>
    </w:lvl>
    <w:lvl w:ilvl="1" w:tplc="08090003">
      <w:start w:val="1"/>
      <w:numFmt w:val="bullet"/>
      <w:lvlText w:val="o"/>
      <w:lvlJc w:val="left"/>
      <w:pPr>
        <w:ind w:left="1236" w:hanging="360"/>
      </w:pPr>
      <w:rPr>
        <w:rFonts w:ascii="Courier New" w:hAnsi="Courier New" w:cs="Courier New" w:hint="default"/>
      </w:rPr>
    </w:lvl>
    <w:lvl w:ilvl="2" w:tplc="08090005">
      <w:start w:val="1"/>
      <w:numFmt w:val="bullet"/>
      <w:lvlText w:val=""/>
      <w:lvlJc w:val="left"/>
      <w:pPr>
        <w:ind w:left="1956" w:hanging="360"/>
      </w:pPr>
      <w:rPr>
        <w:rFonts w:ascii="Wingdings" w:hAnsi="Wingdings" w:hint="default"/>
      </w:rPr>
    </w:lvl>
    <w:lvl w:ilvl="3" w:tplc="08090001">
      <w:start w:val="1"/>
      <w:numFmt w:val="bullet"/>
      <w:lvlText w:val=""/>
      <w:lvlJc w:val="left"/>
      <w:pPr>
        <w:ind w:left="2676" w:hanging="360"/>
      </w:pPr>
      <w:rPr>
        <w:rFonts w:ascii="Symbol" w:hAnsi="Symbol" w:hint="default"/>
      </w:rPr>
    </w:lvl>
    <w:lvl w:ilvl="4" w:tplc="08090003">
      <w:start w:val="1"/>
      <w:numFmt w:val="bullet"/>
      <w:lvlText w:val="o"/>
      <w:lvlJc w:val="left"/>
      <w:pPr>
        <w:ind w:left="3396" w:hanging="360"/>
      </w:pPr>
      <w:rPr>
        <w:rFonts w:ascii="Courier New" w:hAnsi="Courier New" w:cs="Courier New" w:hint="default"/>
      </w:rPr>
    </w:lvl>
    <w:lvl w:ilvl="5" w:tplc="08090005">
      <w:start w:val="1"/>
      <w:numFmt w:val="bullet"/>
      <w:lvlText w:val=""/>
      <w:lvlJc w:val="left"/>
      <w:pPr>
        <w:ind w:left="4116" w:hanging="360"/>
      </w:pPr>
      <w:rPr>
        <w:rFonts w:ascii="Wingdings" w:hAnsi="Wingdings" w:hint="default"/>
      </w:rPr>
    </w:lvl>
    <w:lvl w:ilvl="6" w:tplc="08090001">
      <w:start w:val="1"/>
      <w:numFmt w:val="bullet"/>
      <w:lvlText w:val=""/>
      <w:lvlJc w:val="left"/>
      <w:pPr>
        <w:ind w:left="4836" w:hanging="360"/>
      </w:pPr>
      <w:rPr>
        <w:rFonts w:ascii="Symbol" w:hAnsi="Symbol" w:hint="default"/>
      </w:rPr>
    </w:lvl>
    <w:lvl w:ilvl="7" w:tplc="08090003">
      <w:start w:val="1"/>
      <w:numFmt w:val="bullet"/>
      <w:lvlText w:val="o"/>
      <w:lvlJc w:val="left"/>
      <w:pPr>
        <w:ind w:left="5556" w:hanging="360"/>
      </w:pPr>
      <w:rPr>
        <w:rFonts w:ascii="Courier New" w:hAnsi="Courier New" w:cs="Courier New" w:hint="default"/>
      </w:rPr>
    </w:lvl>
    <w:lvl w:ilvl="8" w:tplc="08090005">
      <w:start w:val="1"/>
      <w:numFmt w:val="bullet"/>
      <w:lvlText w:val=""/>
      <w:lvlJc w:val="left"/>
      <w:pPr>
        <w:ind w:left="6276" w:hanging="360"/>
      </w:pPr>
      <w:rPr>
        <w:rFonts w:ascii="Wingdings" w:hAnsi="Wingdings" w:hint="default"/>
      </w:rPr>
    </w:lvl>
  </w:abstractNum>
  <w:abstractNum w:abstractNumId="32" w15:restartNumberingAfterBreak="0">
    <w:nsid w:val="69B8057B"/>
    <w:multiLevelType w:val="hybridMultilevel"/>
    <w:tmpl w:val="F9A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093F27"/>
    <w:multiLevelType w:val="hybridMultilevel"/>
    <w:tmpl w:val="99221DD6"/>
    <w:lvl w:ilvl="0" w:tplc="57769A80">
      <w:start w:val="2"/>
      <w:numFmt w:val="bullet"/>
      <w:lvlText w:val="-"/>
      <w:lvlJc w:val="left"/>
      <w:pPr>
        <w:ind w:left="492" w:hanging="360"/>
      </w:pPr>
      <w:rPr>
        <w:rFonts w:ascii="Arial" w:eastAsiaTheme="minorEastAsia" w:hAnsi="Arial" w:cs="Arial"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4" w15:restartNumberingAfterBreak="0">
    <w:nsid w:val="6F1C4295"/>
    <w:multiLevelType w:val="hybridMultilevel"/>
    <w:tmpl w:val="40EE6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D03BD3"/>
    <w:multiLevelType w:val="hybridMultilevel"/>
    <w:tmpl w:val="A904A458"/>
    <w:lvl w:ilvl="0" w:tplc="08090001">
      <w:start w:val="1"/>
      <w:numFmt w:val="bullet"/>
      <w:lvlText w:val=""/>
      <w:lvlJc w:val="left"/>
      <w:pPr>
        <w:ind w:left="1908" w:hanging="360"/>
      </w:pPr>
      <w:rPr>
        <w:rFonts w:ascii="Symbol" w:hAnsi="Symbol" w:hint="default"/>
      </w:rPr>
    </w:lvl>
    <w:lvl w:ilvl="1" w:tplc="08090003" w:tentative="1">
      <w:start w:val="1"/>
      <w:numFmt w:val="bullet"/>
      <w:lvlText w:val="o"/>
      <w:lvlJc w:val="left"/>
      <w:pPr>
        <w:ind w:left="2628" w:hanging="360"/>
      </w:pPr>
      <w:rPr>
        <w:rFonts w:ascii="Courier New" w:hAnsi="Courier New" w:cs="Courier New" w:hint="default"/>
      </w:rPr>
    </w:lvl>
    <w:lvl w:ilvl="2" w:tplc="08090005" w:tentative="1">
      <w:start w:val="1"/>
      <w:numFmt w:val="bullet"/>
      <w:lvlText w:val=""/>
      <w:lvlJc w:val="left"/>
      <w:pPr>
        <w:ind w:left="3348" w:hanging="360"/>
      </w:pPr>
      <w:rPr>
        <w:rFonts w:ascii="Wingdings" w:hAnsi="Wingdings" w:hint="default"/>
      </w:rPr>
    </w:lvl>
    <w:lvl w:ilvl="3" w:tplc="08090001" w:tentative="1">
      <w:start w:val="1"/>
      <w:numFmt w:val="bullet"/>
      <w:lvlText w:val=""/>
      <w:lvlJc w:val="left"/>
      <w:pPr>
        <w:ind w:left="4068" w:hanging="360"/>
      </w:pPr>
      <w:rPr>
        <w:rFonts w:ascii="Symbol" w:hAnsi="Symbol" w:hint="default"/>
      </w:rPr>
    </w:lvl>
    <w:lvl w:ilvl="4" w:tplc="08090003" w:tentative="1">
      <w:start w:val="1"/>
      <w:numFmt w:val="bullet"/>
      <w:lvlText w:val="o"/>
      <w:lvlJc w:val="left"/>
      <w:pPr>
        <w:ind w:left="4788" w:hanging="360"/>
      </w:pPr>
      <w:rPr>
        <w:rFonts w:ascii="Courier New" w:hAnsi="Courier New" w:cs="Courier New" w:hint="default"/>
      </w:rPr>
    </w:lvl>
    <w:lvl w:ilvl="5" w:tplc="08090005" w:tentative="1">
      <w:start w:val="1"/>
      <w:numFmt w:val="bullet"/>
      <w:lvlText w:val=""/>
      <w:lvlJc w:val="left"/>
      <w:pPr>
        <w:ind w:left="5508" w:hanging="360"/>
      </w:pPr>
      <w:rPr>
        <w:rFonts w:ascii="Wingdings" w:hAnsi="Wingdings" w:hint="default"/>
      </w:rPr>
    </w:lvl>
    <w:lvl w:ilvl="6" w:tplc="08090001" w:tentative="1">
      <w:start w:val="1"/>
      <w:numFmt w:val="bullet"/>
      <w:lvlText w:val=""/>
      <w:lvlJc w:val="left"/>
      <w:pPr>
        <w:ind w:left="6228" w:hanging="360"/>
      </w:pPr>
      <w:rPr>
        <w:rFonts w:ascii="Symbol" w:hAnsi="Symbol" w:hint="default"/>
      </w:rPr>
    </w:lvl>
    <w:lvl w:ilvl="7" w:tplc="08090003" w:tentative="1">
      <w:start w:val="1"/>
      <w:numFmt w:val="bullet"/>
      <w:lvlText w:val="o"/>
      <w:lvlJc w:val="left"/>
      <w:pPr>
        <w:ind w:left="6948" w:hanging="360"/>
      </w:pPr>
      <w:rPr>
        <w:rFonts w:ascii="Courier New" w:hAnsi="Courier New" w:cs="Courier New" w:hint="default"/>
      </w:rPr>
    </w:lvl>
    <w:lvl w:ilvl="8" w:tplc="08090005" w:tentative="1">
      <w:start w:val="1"/>
      <w:numFmt w:val="bullet"/>
      <w:lvlText w:val=""/>
      <w:lvlJc w:val="left"/>
      <w:pPr>
        <w:ind w:left="7668" w:hanging="360"/>
      </w:pPr>
      <w:rPr>
        <w:rFonts w:ascii="Wingdings" w:hAnsi="Wingdings" w:hint="default"/>
      </w:rPr>
    </w:lvl>
  </w:abstractNum>
  <w:abstractNum w:abstractNumId="36" w15:restartNumberingAfterBreak="0">
    <w:nsid w:val="725F017F"/>
    <w:multiLevelType w:val="hybridMultilevel"/>
    <w:tmpl w:val="4ECA3376"/>
    <w:lvl w:ilvl="0" w:tplc="BCF0C6C6">
      <w:start w:val="2"/>
      <w:numFmt w:val="bullet"/>
      <w:lvlText w:val="-"/>
      <w:lvlJc w:val="left"/>
      <w:pPr>
        <w:ind w:left="624" w:hanging="360"/>
      </w:pPr>
      <w:rPr>
        <w:rFonts w:ascii="Arial" w:eastAsia="Calibri" w:hAnsi="Arial" w:cs="Arial" w:hint="default"/>
      </w:rPr>
    </w:lvl>
    <w:lvl w:ilvl="1" w:tplc="08090003" w:tentative="1">
      <w:start w:val="1"/>
      <w:numFmt w:val="bullet"/>
      <w:lvlText w:val="o"/>
      <w:lvlJc w:val="left"/>
      <w:pPr>
        <w:ind w:left="1344" w:hanging="360"/>
      </w:pPr>
      <w:rPr>
        <w:rFonts w:ascii="Courier New" w:hAnsi="Courier New" w:cs="Courier New" w:hint="default"/>
      </w:rPr>
    </w:lvl>
    <w:lvl w:ilvl="2" w:tplc="08090005" w:tentative="1">
      <w:start w:val="1"/>
      <w:numFmt w:val="bullet"/>
      <w:lvlText w:val=""/>
      <w:lvlJc w:val="left"/>
      <w:pPr>
        <w:ind w:left="2064" w:hanging="360"/>
      </w:pPr>
      <w:rPr>
        <w:rFonts w:ascii="Wingdings" w:hAnsi="Wingdings" w:hint="default"/>
      </w:rPr>
    </w:lvl>
    <w:lvl w:ilvl="3" w:tplc="08090001" w:tentative="1">
      <w:start w:val="1"/>
      <w:numFmt w:val="bullet"/>
      <w:lvlText w:val=""/>
      <w:lvlJc w:val="left"/>
      <w:pPr>
        <w:ind w:left="2784" w:hanging="360"/>
      </w:pPr>
      <w:rPr>
        <w:rFonts w:ascii="Symbol" w:hAnsi="Symbol" w:hint="default"/>
      </w:rPr>
    </w:lvl>
    <w:lvl w:ilvl="4" w:tplc="08090003" w:tentative="1">
      <w:start w:val="1"/>
      <w:numFmt w:val="bullet"/>
      <w:lvlText w:val="o"/>
      <w:lvlJc w:val="left"/>
      <w:pPr>
        <w:ind w:left="3504" w:hanging="360"/>
      </w:pPr>
      <w:rPr>
        <w:rFonts w:ascii="Courier New" w:hAnsi="Courier New" w:cs="Courier New" w:hint="default"/>
      </w:rPr>
    </w:lvl>
    <w:lvl w:ilvl="5" w:tplc="08090005" w:tentative="1">
      <w:start w:val="1"/>
      <w:numFmt w:val="bullet"/>
      <w:lvlText w:val=""/>
      <w:lvlJc w:val="left"/>
      <w:pPr>
        <w:ind w:left="4224" w:hanging="360"/>
      </w:pPr>
      <w:rPr>
        <w:rFonts w:ascii="Wingdings" w:hAnsi="Wingdings" w:hint="default"/>
      </w:rPr>
    </w:lvl>
    <w:lvl w:ilvl="6" w:tplc="08090001" w:tentative="1">
      <w:start w:val="1"/>
      <w:numFmt w:val="bullet"/>
      <w:lvlText w:val=""/>
      <w:lvlJc w:val="left"/>
      <w:pPr>
        <w:ind w:left="4944" w:hanging="360"/>
      </w:pPr>
      <w:rPr>
        <w:rFonts w:ascii="Symbol" w:hAnsi="Symbol" w:hint="default"/>
      </w:rPr>
    </w:lvl>
    <w:lvl w:ilvl="7" w:tplc="08090003" w:tentative="1">
      <w:start w:val="1"/>
      <w:numFmt w:val="bullet"/>
      <w:lvlText w:val="o"/>
      <w:lvlJc w:val="left"/>
      <w:pPr>
        <w:ind w:left="5664" w:hanging="360"/>
      </w:pPr>
      <w:rPr>
        <w:rFonts w:ascii="Courier New" w:hAnsi="Courier New" w:cs="Courier New" w:hint="default"/>
      </w:rPr>
    </w:lvl>
    <w:lvl w:ilvl="8" w:tplc="08090005" w:tentative="1">
      <w:start w:val="1"/>
      <w:numFmt w:val="bullet"/>
      <w:lvlText w:val=""/>
      <w:lvlJc w:val="left"/>
      <w:pPr>
        <w:ind w:left="6384" w:hanging="360"/>
      </w:pPr>
      <w:rPr>
        <w:rFonts w:ascii="Wingdings" w:hAnsi="Wingdings" w:hint="default"/>
      </w:rPr>
    </w:lvl>
  </w:abstractNum>
  <w:abstractNum w:abstractNumId="37" w15:restartNumberingAfterBreak="0">
    <w:nsid w:val="732F29C9"/>
    <w:multiLevelType w:val="hybridMultilevel"/>
    <w:tmpl w:val="380A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940390"/>
    <w:multiLevelType w:val="hybridMultilevel"/>
    <w:tmpl w:val="A768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A21415"/>
    <w:multiLevelType w:val="hybridMultilevel"/>
    <w:tmpl w:val="7312D8D8"/>
    <w:lvl w:ilvl="0" w:tplc="68F042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E94BF4"/>
    <w:multiLevelType w:val="hybridMultilevel"/>
    <w:tmpl w:val="400A1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F13505"/>
    <w:multiLevelType w:val="hybridMultilevel"/>
    <w:tmpl w:val="9FD2B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25"/>
  </w:num>
  <w:num w:numId="3">
    <w:abstractNumId w:val="19"/>
  </w:num>
  <w:num w:numId="4">
    <w:abstractNumId w:val="23"/>
  </w:num>
  <w:num w:numId="5">
    <w:abstractNumId w:val="8"/>
  </w:num>
  <w:num w:numId="6">
    <w:abstractNumId w:val="12"/>
  </w:num>
  <w:num w:numId="7">
    <w:abstractNumId w:val="13"/>
  </w:num>
  <w:num w:numId="8">
    <w:abstractNumId w:val="13"/>
  </w:num>
  <w:num w:numId="9">
    <w:abstractNumId w:val="15"/>
  </w:num>
  <w:num w:numId="10">
    <w:abstractNumId w:val="10"/>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1"/>
  </w:num>
  <w:num w:numId="14">
    <w:abstractNumId w:val="41"/>
  </w:num>
  <w:num w:numId="15">
    <w:abstractNumId w:val="35"/>
  </w:num>
  <w:num w:numId="16">
    <w:abstractNumId w:val="9"/>
  </w:num>
  <w:num w:numId="17">
    <w:abstractNumId w:val="40"/>
  </w:num>
  <w:num w:numId="18">
    <w:abstractNumId w:val="16"/>
  </w:num>
  <w:num w:numId="19">
    <w:abstractNumId w:val="28"/>
  </w:num>
  <w:num w:numId="20">
    <w:abstractNumId w:val="21"/>
  </w:num>
  <w:num w:numId="21">
    <w:abstractNumId w:val="1"/>
  </w:num>
  <w:num w:numId="22">
    <w:abstractNumId w:val="37"/>
  </w:num>
  <w:num w:numId="23">
    <w:abstractNumId w:val="14"/>
  </w:num>
  <w:num w:numId="24">
    <w:abstractNumId w:val="30"/>
  </w:num>
  <w:num w:numId="25">
    <w:abstractNumId w:val="4"/>
  </w:num>
  <w:num w:numId="26">
    <w:abstractNumId w:val="20"/>
  </w:num>
  <w:num w:numId="27">
    <w:abstractNumId w:val="3"/>
  </w:num>
  <w:num w:numId="28">
    <w:abstractNumId w:val="33"/>
  </w:num>
  <w:num w:numId="29">
    <w:abstractNumId w:val="17"/>
  </w:num>
  <w:num w:numId="30">
    <w:abstractNumId w:val="27"/>
  </w:num>
  <w:num w:numId="31">
    <w:abstractNumId w:val="7"/>
  </w:num>
  <w:num w:numId="32">
    <w:abstractNumId w:val="36"/>
  </w:num>
  <w:num w:numId="33">
    <w:abstractNumId w:val="0"/>
  </w:num>
  <w:num w:numId="34">
    <w:abstractNumId w:val="18"/>
  </w:num>
  <w:num w:numId="35">
    <w:abstractNumId w:val="24"/>
  </w:num>
  <w:num w:numId="36">
    <w:abstractNumId w:val="34"/>
  </w:num>
  <w:num w:numId="37">
    <w:abstractNumId w:val="38"/>
  </w:num>
  <w:num w:numId="38">
    <w:abstractNumId w:val="6"/>
  </w:num>
  <w:num w:numId="39">
    <w:abstractNumId w:val="32"/>
  </w:num>
  <w:num w:numId="40">
    <w:abstractNumId w:val="39"/>
  </w:num>
  <w:num w:numId="41">
    <w:abstractNumId w:val="2"/>
  </w:num>
  <w:num w:numId="42">
    <w:abstractNumId w:val="22"/>
  </w:num>
  <w:num w:numId="43">
    <w:abstractNumId w:val="26"/>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2D"/>
    <w:rsid w:val="00001093"/>
    <w:rsid w:val="00001B1E"/>
    <w:rsid w:val="000028C6"/>
    <w:rsid w:val="00010CBC"/>
    <w:rsid w:val="00012CA4"/>
    <w:rsid w:val="0001428F"/>
    <w:rsid w:val="00025BD5"/>
    <w:rsid w:val="000314D8"/>
    <w:rsid w:val="0003658D"/>
    <w:rsid w:val="00040614"/>
    <w:rsid w:val="000424CA"/>
    <w:rsid w:val="000427B8"/>
    <w:rsid w:val="000467F3"/>
    <w:rsid w:val="0005063D"/>
    <w:rsid w:val="00070DF7"/>
    <w:rsid w:val="00072BA2"/>
    <w:rsid w:val="000819D2"/>
    <w:rsid w:val="000950DE"/>
    <w:rsid w:val="000A1BE5"/>
    <w:rsid w:val="000A1FC9"/>
    <w:rsid w:val="000A506B"/>
    <w:rsid w:val="000A77DF"/>
    <w:rsid w:val="000A7CAF"/>
    <w:rsid w:val="000B0636"/>
    <w:rsid w:val="000C1B8B"/>
    <w:rsid w:val="000C2B03"/>
    <w:rsid w:val="000C2C2F"/>
    <w:rsid w:val="000C44B1"/>
    <w:rsid w:val="000C5366"/>
    <w:rsid w:val="000E5688"/>
    <w:rsid w:val="0010289A"/>
    <w:rsid w:val="00116A17"/>
    <w:rsid w:val="00117421"/>
    <w:rsid w:val="00122D12"/>
    <w:rsid w:val="0012491B"/>
    <w:rsid w:val="00141451"/>
    <w:rsid w:val="00146E51"/>
    <w:rsid w:val="00152436"/>
    <w:rsid w:val="001540FE"/>
    <w:rsid w:val="00155ED5"/>
    <w:rsid w:val="00161300"/>
    <w:rsid w:val="00167646"/>
    <w:rsid w:val="00180C09"/>
    <w:rsid w:val="001810E8"/>
    <w:rsid w:val="00181A00"/>
    <w:rsid w:val="00197202"/>
    <w:rsid w:val="001A01E7"/>
    <w:rsid w:val="001B7B87"/>
    <w:rsid w:val="001C448B"/>
    <w:rsid w:val="001C46A7"/>
    <w:rsid w:val="001C58D3"/>
    <w:rsid w:val="001E03AF"/>
    <w:rsid w:val="001E0514"/>
    <w:rsid w:val="001E611F"/>
    <w:rsid w:val="001F2A70"/>
    <w:rsid w:val="001F4C7B"/>
    <w:rsid w:val="0020043F"/>
    <w:rsid w:val="00200D81"/>
    <w:rsid w:val="002473EC"/>
    <w:rsid w:val="00247710"/>
    <w:rsid w:val="002612B8"/>
    <w:rsid w:val="002613DA"/>
    <w:rsid w:val="00270A35"/>
    <w:rsid w:val="00286B0B"/>
    <w:rsid w:val="002A1A32"/>
    <w:rsid w:val="002A4568"/>
    <w:rsid w:val="002A557F"/>
    <w:rsid w:val="002B1D30"/>
    <w:rsid w:val="002B1F79"/>
    <w:rsid w:val="002B6BCD"/>
    <w:rsid w:val="002D08C5"/>
    <w:rsid w:val="002E38AF"/>
    <w:rsid w:val="002E5552"/>
    <w:rsid w:val="002E6B1F"/>
    <w:rsid w:val="002F5284"/>
    <w:rsid w:val="002F5B30"/>
    <w:rsid w:val="00324F56"/>
    <w:rsid w:val="00337A9B"/>
    <w:rsid w:val="00341521"/>
    <w:rsid w:val="0035279B"/>
    <w:rsid w:val="00352ED4"/>
    <w:rsid w:val="00360F0B"/>
    <w:rsid w:val="00361E85"/>
    <w:rsid w:val="00363A6E"/>
    <w:rsid w:val="00365E95"/>
    <w:rsid w:val="00367F00"/>
    <w:rsid w:val="00385372"/>
    <w:rsid w:val="0038569F"/>
    <w:rsid w:val="0039162C"/>
    <w:rsid w:val="003A189A"/>
    <w:rsid w:val="003A1D1E"/>
    <w:rsid w:val="003A5363"/>
    <w:rsid w:val="003B25D0"/>
    <w:rsid w:val="003B506B"/>
    <w:rsid w:val="003B5138"/>
    <w:rsid w:val="003C0211"/>
    <w:rsid w:val="003C1EB5"/>
    <w:rsid w:val="003D0CE2"/>
    <w:rsid w:val="003D3348"/>
    <w:rsid w:val="003E258F"/>
    <w:rsid w:val="003E456E"/>
    <w:rsid w:val="003F26DA"/>
    <w:rsid w:val="003F2923"/>
    <w:rsid w:val="0040182B"/>
    <w:rsid w:val="004066B9"/>
    <w:rsid w:val="004120B3"/>
    <w:rsid w:val="004133A1"/>
    <w:rsid w:val="00415B1A"/>
    <w:rsid w:val="00424AB6"/>
    <w:rsid w:val="0043251D"/>
    <w:rsid w:val="00437ED7"/>
    <w:rsid w:val="00441416"/>
    <w:rsid w:val="0044304B"/>
    <w:rsid w:val="00444B49"/>
    <w:rsid w:val="00445FF9"/>
    <w:rsid w:val="004501DC"/>
    <w:rsid w:val="00452017"/>
    <w:rsid w:val="004717A3"/>
    <w:rsid w:val="00477634"/>
    <w:rsid w:val="004824CD"/>
    <w:rsid w:val="004921BD"/>
    <w:rsid w:val="004950DA"/>
    <w:rsid w:val="004A4314"/>
    <w:rsid w:val="004B7307"/>
    <w:rsid w:val="004C0736"/>
    <w:rsid w:val="004C244D"/>
    <w:rsid w:val="004C3703"/>
    <w:rsid w:val="004D0388"/>
    <w:rsid w:val="004D5260"/>
    <w:rsid w:val="004E6940"/>
    <w:rsid w:val="00503775"/>
    <w:rsid w:val="00507EB9"/>
    <w:rsid w:val="00521730"/>
    <w:rsid w:val="00523AF0"/>
    <w:rsid w:val="00527D94"/>
    <w:rsid w:val="0053406E"/>
    <w:rsid w:val="00545442"/>
    <w:rsid w:val="005504CC"/>
    <w:rsid w:val="00562F68"/>
    <w:rsid w:val="0056508A"/>
    <w:rsid w:val="00566A41"/>
    <w:rsid w:val="0057043F"/>
    <w:rsid w:val="0057394C"/>
    <w:rsid w:val="005767DD"/>
    <w:rsid w:val="00584893"/>
    <w:rsid w:val="005A75C7"/>
    <w:rsid w:val="005B393E"/>
    <w:rsid w:val="005B39FF"/>
    <w:rsid w:val="005B4D62"/>
    <w:rsid w:val="005B4ED9"/>
    <w:rsid w:val="005C78A1"/>
    <w:rsid w:val="005D0B1C"/>
    <w:rsid w:val="005D6736"/>
    <w:rsid w:val="005D7CB8"/>
    <w:rsid w:val="005F011B"/>
    <w:rsid w:val="005F5340"/>
    <w:rsid w:val="005F763D"/>
    <w:rsid w:val="00606D52"/>
    <w:rsid w:val="00610A7F"/>
    <w:rsid w:val="0061192F"/>
    <w:rsid w:val="00627464"/>
    <w:rsid w:val="0063143A"/>
    <w:rsid w:val="00643146"/>
    <w:rsid w:val="00655E90"/>
    <w:rsid w:val="00661FC0"/>
    <w:rsid w:val="00666F5D"/>
    <w:rsid w:val="00671BEA"/>
    <w:rsid w:val="00672677"/>
    <w:rsid w:val="00675119"/>
    <w:rsid w:val="00691412"/>
    <w:rsid w:val="006977FC"/>
    <w:rsid w:val="006A013D"/>
    <w:rsid w:val="006A3E56"/>
    <w:rsid w:val="006C0117"/>
    <w:rsid w:val="006C6E39"/>
    <w:rsid w:val="006D0850"/>
    <w:rsid w:val="006D4FDA"/>
    <w:rsid w:val="006D7B38"/>
    <w:rsid w:val="006E250C"/>
    <w:rsid w:val="006E6C65"/>
    <w:rsid w:val="006F75C1"/>
    <w:rsid w:val="00710B43"/>
    <w:rsid w:val="0072067A"/>
    <w:rsid w:val="0072319E"/>
    <w:rsid w:val="00723B24"/>
    <w:rsid w:val="00724972"/>
    <w:rsid w:val="007306CA"/>
    <w:rsid w:val="00733169"/>
    <w:rsid w:val="0073503B"/>
    <w:rsid w:val="00736132"/>
    <w:rsid w:val="007376B0"/>
    <w:rsid w:val="007478AE"/>
    <w:rsid w:val="00757BA3"/>
    <w:rsid w:val="007671CA"/>
    <w:rsid w:val="00770792"/>
    <w:rsid w:val="00772520"/>
    <w:rsid w:val="007755D3"/>
    <w:rsid w:val="0079523B"/>
    <w:rsid w:val="007A4144"/>
    <w:rsid w:val="007A71DA"/>
    <w:rsid w:val="007B312D"/>
    <w:rsid w:val="007B624E"/>
    <w:rsid w:val="007C08A1"/>
    <w:rsid w:val="007C7D9A"/>
    <w:rsid w:val="007D3B5C"/>
    <w:rsid w:val="007E15EA"/>
    <w:rsid w:val="007F096A"/>
    <w:rsid w:val="007F619C"/>
    <w:rsid w:val="00800897"/>
    <w:rsid w:val="00800990"/>
    <w:rsid w:val="0080125C"/>
    <w:rsid w:val="00807776"/>
    <w:rsid w:val="00812302"/>
    <w:rsid w:val="008125D0"/>
    <w:rsid w:val="008150E1"/>
    <w:rsid w:val="0081756A"/>
    <w:rsid w:val="008227E2"/>
    <w:rsid w:val="008229D6"/>
    <w:rsid w:val="00826AA0"/>
    <w:rsid w:val="00841D75"/>
    <w:rsid w:val="008433AC"/>
    <w:rsid w:val="008462CC"/>
    <w:rsid w:val="00847C9F"/>
    <w:rsid w:val="00850722"/>
    <w:rsid w:val="008670D6"/>
    <w:rsid w:val="0088514F"/>
    <w:rsid w:val="0088520F"/>
    <w:rsid w:val="00890D8C"/>
    <w:rsid w:val="00896322"/>
    <w:rsid w:val="008A2734"/>
    <w:rsid w:val="008A4B90"/>
    <w:rsid w:val="008B02AB"/>
    <w:rsid w:val="008B6EA4"/>
    <w:rsid w:val="008D0FD0"/>
    <w:rsid w:val="008D136A"/>
    <w:rsid w:val="00906D92"/>
    <w:rsid w:val="00911C7A"/>
    <w:rsid w:val="00913BAC"/>
    <w:rsid w:val="0092151A"/>
    <w:rsid w:val="00936261"/>
    <w:rsid w:val="009367B9"/>
    <w:rsid w:val="00936902"/>
    <w:rsid w:val="00945D29"/>
    <w:rsid w:val="0094740D"/>
    <w:rsid w:val="00953AEB"/>
    <w:rsid w:val="00954BE0"/>
    <w:rsid w:val="00960543"/>
    <w:rsid w:val="00961F96"/>
    <w:rsid w:val="00973A2C"/>
    <w:rsid w:val="00974D42"/>
    <w:rsid w:val="009878B3"/>
    <w:rsid w:val="009921C9"/>
    <w:rsid w:val="0099312A"/>
    <w:rsid w:val="00994CB6"/>
    <w:rsid w:val="009954E2"/>
    <w:rsid w:val="009A2A10"/>
    <w:rsid w:val="009A4ABB"/>
    <w:rsid w:val="009B638F"/>
    <w:rsid w:val="009B6DEB"/>
    <w:rsid w:val="009C0E8D"/>
    <w:rsid w:val="009D1216"/>
    <w:rsid w:val="009D5955"/>
    <w:rsid w:val="009E4380"/>
    <w:rsid w:val="009F24B6"/>
    <w:rsid w:val="009F437B"/>
    <w:rsid w:val="00A03BBF"/>
    <w:rsid w:val="00A051AD"/>
    <w:rsid w:val="00A10CBA"/>
    <w:rsid w:val="00A13E8E"/>
    <w:rsid w:val="00A14055"/>
    <w:rsid w:val="00A1494D"/>
    <w:rsid w:val="00A15CEC"/>
    <w:rsid w:val="00A2348F"/>
    <w:rsid w:val="00A3013D"/>
    <w:rsid w:val="00A32D63"/>
    <w:rsid w:val="00A417A3"/>
    <w:rsid w:val="00A420C6"/>
    <w:rsid w:val="00A43098"/>
    <w:rsid w:val="00A453D4"/>
    <w:rsid w:val="00A56B55"/>
    <w:rsid w:val="00A62C2C"/>
    <w:rsid w:val="00A6787B"/>
    <w:rsid w:val="00A70B3E"/>
    <w:rsid w:val="00A744A0"/>
    <w:rsid w:val="00A80A45"/>
    <w:rsid w:val="00A83087"/>
    <w:rsid w:val="00A8430B"/>
    <w:rsid w:val="00A938F8"/>
    <w:rsid w:val="00AA457D"/>
    <w:rsid w:val="00AA5B52"/>
    <w:rsid w:val="00AB4ABE"/>
    <w:rsid w:val="00AC0305"/>
    <w:rsid w:val="00AC106E"/>
    <w:rsid w:val="00AC6481"/>
    <w:rsid w:val="00AC6BE6"/>
    <w:rsid w:val="00AD0BD2"/>
    <w:rsid w:val="00AF0D50"/>
    <w:rsid w:val="00AF5055"/>
    <w:rsid w:val="00AF542A"/>
    <w:rsid w:val="00AF6FB9"/>
    <w:rsid w:val="00B064A6"/>
    <w:rsid w:val="00B07A58"/>
    <w:rsid w:val="00B15C5F"/>
    <w:rsid w:val="00B207BE"/>
    <w:rsid w:val="00B2462F"/>
    <w:rsid w:val="00B256B0"/>
    <w:rsid w:val="00B25C4A"/>
    <w:rsid w:val="00B34EA3"/>
    <w:rsid w:val="00B42C3D"/>
    <w:rsid w:val="00B43612"/>
    <w:rsid w:val="00B53E92"/>
    <w:rsid w:val="00B60F45"/>
    <w:rsid w:val="00B617AC"/>
    <w:rsid w:val="00B814BB"/>
    <w:rsid w:val="00B968F1"/>
    <w:rsid w:val="00B9743A"/>
    <w:rsid w:val="00B97575"/>
    <w:rsid w:val="00BA248F"/>
    <w:rsid w:val="00BA2AD1"/>
    <w:rsid w:val="00BB0F5C"/>
    <w:rsid w:val="00BC14AE"/>
    <w:rsid w:val="00BD4F0D"/>
    <w:rsid w:val="00BE0607"/>
    <w:rsid w:val="00BE1745"/>
    <w:rsid w:val="00BE3BD3"/>
    <w:rsid w:val="00C02561"/>
    <w:rsid w:val="00C147B4"/>
    <w:rsid w:val="00C1659F"/>
    <w:rsid w:val="00C308DD"/>
    <w:rsid w:val="00C308F2"/>
    <w:rsid w:val="00C309EE"/>
    <w:rsid w:val="00C312E9"/>
    <w:rsid w:val="00C7372F"/>
    <w:rsid w:val="00C77180"/>
    <w:rsid w:val="00C842F5"/>
    <w:rsid w:val="00C9425C"/>
    <w:rsid w:val="00C97D5B"/>
    <w:rsid w:val="00CA45BC"/>
    <w:rsid w:val="00CB386C"/>
    <w:rsid w:val="00CC5838"/>
    <w:rsid w:val="00CC6DFA"/>
    <w:rsid w:val="00CE0FE5"/>
    <w:rsid w:val="00CE2468"/>
    <w:rsid w:val="00CE47CB"/>
    <w:rsid w:val="00CF2A8B"/>
    <w:rsid w:val="00CF33F5"/>
    <w:rsid w:val="00CF3E37"/>
    <w:rsid w:val="00CF472D"/>
    <w:rsid w:val="00D035E6"/>
    <w:rsid w:val="00D13C68"/>
    <w:rsid w:val="00D4400D"/>
    <w:rsid w:val="00D520C0"/>
    <w:rsid w:val="00D5236C"/>
    <w:rsid w:val="00D540EB"/>
    <w:rsid w:val="00D6492F"/>
    <w:rsid w:val="00D64CA1"/>
    <w:rsid w:val="00D65A22"/>
    <w:rsid w:val="00D703A6"/>
    <w:rsid w:val="00D71614"/>
    <w:rsid w:val="00D769C5"/>
    <w:rsid w:val="00D812CA"/>
    <w:rsid w:val="00D848E6"/>
    <w:rsid w:val="00D96559"/>
    <w:rsid w:val="00DA1D02"/>
    <w:rsid w:val="00DA3E6C"/>
    <w:rsid w:val="00DB12F1"/>
    <w:rsid w:val="00DB77BC"/>
    <w:rsid w:val="00DC2028"/>
    <w:rsid w:val="00DD1942"/>
    <w:rsid w:val="00DD3090"/>
    <w:rsid w:val="00DE4930"/>
    <w:rsid w:val="00DE7401"/>
    <w:rsid w:val="00DF1DE0"/>
    <w:rsid w:val="00DF7E75"/>
    <w:rsid w:val="00E04FCA"/>
    <w:rsid w:val="00E05782"/>
    <w:rsid w:val="00E06D59"/>
    <w:rsid w:val="00E07CD6"/>
    <w:rsid w:val="00E1220F"/>
    <w:rsid w:val="00E14A1E"/>
    <w:rsid w:val="00E16D79"/>
    <w:rsid w:val="00E17EB1"/>
    <w:rsid w:val="00E31807"/>
    <w:rsid w:val="00E325AF"/>
    <w:rsid w:val="00E40D8F"/>
    <w:rsid w:val="00E411E3"/>
    <w:rsid w:val="00E50802"/>
    <w:rsid w:val="00E5657A"/>
    <w:rsid w:val="00E60E26"/>
    <w:rsid w:val="00E62007"/>
    <w:rsid w:val="00E76135"/>
    <w:rsid w:val="00E84252"/>
    <w:rsid w:val="00E92BFA"/>
    <w:rsid w:val="00E93294"/>
    <w:rsid w:val="00E945B8"/>
    <w:rsid w:val="00E9564E"/>
    <w:rsid w:val="00EB4BB4"/>
    <w:rsid w:val="00EC5726"/>
    <w:rsid w:val="00EC7FC7"/>
    <w:rsid w:val="00ED1B26"/>
    <w:rsid w:val="00EE649D"/>
    <w:rsid w:val="00F03C17"/>
    <w:rsid w:val="00F0403D"/>
    <w:rsid w:val="00F07115"/>
    <w:rsid w:val="00F25B9C"/>
    <w:rsid w:val="00F3435D"/>
    <w:rsid w:val="00F37001"/>
    <w:rsid w:val="00F42F5E"/>
    <w:rsid w:val="00F53326"/>
    <w:rsid w:val="00F5577F"/>
    <w:rsid w:val="00F5663F"/>
    <w:rsid w:val="00F62515"/>
    <w:rsid w:val="00F70CE7"/>
    <w:rsid w:val="00F742EF"/>
    <w:rsid w:val="00F95373"/>
    <w:rsid w:val="00FB455C"/>
    <w:rsid w:val="00FC206D"/>
    <w:rsid w:val="00FC66F8"/>
    <w:rsid w:val="00FC7DD3"/>
    <w:rsid w:val="00FD6F34"/>
    <w:rsid w:val="00FE05A2"/>
    <w:rsid w:val="00FE0D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2C1C67"/>
  <w15:docId w15:val="{B5FA9E59-7200-4FC7-936B-E689C1328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40D"/>
  </w:style>
  <w:style w:type="paragraph" w:styleId="Heading1">
    <w:name w:val="heading 1"/>
    <w:basedOn w:val="Normal"/>
    <w:next w:val="Normal"/>
    <w:link w:val="Heading1Char"/>
    <w:uiPriority w:val="9"/>
    <w:qFormat/>
    <w:rsid w:val="00C312E9"/>
    <w:pPr>
      <w:keepNext/>
      <w:spacing w:after="0" w:line="240" w:lineRule="auto"/>
      <w:jc w:val="center"/>
      <w:outlineLvl w:val="0"/>
    </w:pPr>
    <w:rPr>
      <w:rFonts w:ascii="Arial" w:eastAsia="Times New Roman" w:hAnsi="Arial" w:cs="Times New Roman"/>
      <w:b/>
      <w:color w:val="FFFFFF"/>
      <w:sz w:val="72"/>
      <w:szCs w:val="20"/>
    </w:rPr>
  </w:style>
  <w:style w:type="paragraph" w:styleId="Heading2">
    <w:name w:val="heading 2"/>
    <w:basedOn w:val="Normal"/>
    <w:next w:val="Normal"/>
    <w:link w:val="Heading2Char"/>
    <w:uiPriority w:val="9"/>
    <w:qFormat/>
    <w:rsid w:val="007B312D"/>
    <w:pPr>
      <w:keepNext/>
      <w:spacing w:after="0" w:line="240" w:lineRule="auto"/>
      <w:jc w:val="center"/>
      <w:outlineLvl w:val="1"/>
    </w:pPr>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7B312D"/>
    <w:pPr>
      <w:keepNext/>
      <w:spacing w:before="240" w:after="60" w:line="240" w:lineRule="auto"/>
      <w:outlineLvl w:val="2"/>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12D"/>
    <w:pPr>
      <w:ind w:left="720"/>
      <w:contextualSpacing/>
    </w:pPr>
  </w:style>
  <w:style w:type="paragraph" w:customStyle="1" w:styleId="MemoTitle">
    <w:name w:val="Memo Title"/>
    <w:rsid w:val="007B312D"/>
    <w:pPr>
      <w:tabs>
        <w:tab w:val="left" w:pos="1134"/>
        <w:tab w:val="right" w:pos="4962"/>
        <w:tab w:val="left" w:pos="5103"/>
      </w:tabs>
      <w:spacing w:after="120" w:line="240" w:lineRule="auto"/>
    </w:pPr>
    <w:rPr>
      <w:rFonts w:ascii="Arial" w:eastAsia="Times New Roman" w:hAnsi="Arial" w:cs="Times New Roman"/>
      <w:b/>
      <w:sz w:val="24"/>
      <w:szCs w:val="20"/>
    </w:rPr>
  </w:style>
  <w:style w:type="character" w:customStyle="1" w:styleId="Heading2Char">
    <w:name w:val="Heading 2 Char"/>
    <w:basedOn w:val="DefaultParagraphFont"/>
    <w:link w:val="Heading2"/>
    <w:uiPriority w:val="9"/>
    <w:rsid w:val="007B312D"/>
    <w:rPr>
      <w:rFonts w:ascii="Arial Black" w:eastAsia="Times New Roman" w:hAnsi="Arial Black" w:cs="Times New Roman"/>
      <w:b/>
      <w:smallCaps/>
      <w:color w:val="808080"/>
      <w:w w:val="110"/>
      <w:sz w:val="48"/>
      <w:szCs w:val="20"/>
      <w14:shadow w14:blurRad="50800" w14:dist="38100" w14:dir="2700000" w14:sx="100000" w14:sy="100000" w14:kx="0" w14:ky="0" w14:algn="tl">
        <w14:srgbClr w14:val="000000">
          <w14:alpha w14:val="60000"/>
        </w14:srgbClr>
      </w14:shadow>
    </w:rPr>
  </w:style>
  <w:style w:type="character" w:customStyle="1" w:styleId="Heading3Char">
    <w:name w:val="Heading 3 Char"/>
    <w:basedOn w:val="DefaultParagraphFont"/>
    <w:link w:val="Heading3"/>
    <w:rsid w:val="007B312D"/>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C31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12E9"/>
    <w:rPr>
      <w:rFonts w:ascii="Tahoma" w:hAnsi="Tahoma" w:cs="Tahoma"/>
      <w:sz w:val="16"/>
      <w:szCs w:val="16"/>
    </w:rPr>
  </w:style>
  <w:style w:type="character" w:customStyle="1" w:styleId="Heading1Char">
    <w:name w:val="Heading 1 Char"/>
    <w:basedOn w:val="DefaultParagraphFont"/>
    <w:link w:val="Heading1"/>
    <w:uiPriority w:val="9"/>
    <w:rsid w:val="00C312E9"/>
    <w:rPr>
      <w:rFonts w:ascii="Arial" w:eastAsia="Times New Roman" w:hAnsi="Arial" w:cs="Times New Roman"/>
      <w:b/>
      <w:color w:val="FFFFFF"/>
      <w:sz w:val="72"/>
      <w:szCs w:val="20"/>
    </w:rPr>
  </w:style>
  <w:style w:type="table" w:styleId="TableGrid">
    <w:name w:val="Table Grid"/>
    <w:basedOn w:val="TableNormal"/>
    <w:uiPriority w:val="39"/>
    <w:rsid w:val="002B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06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614"/>
  </w:style>
  <w:style w:type="paragraph" w:styleId="Footer">
    <w:name w:val="footer"/>
    <w:basedOn w:val="Normal"/>
    <w:link w:val="FooterChar"/>
    <w:uiPriority w:val="99"/>
    <w:unhideWhenUsed/>
    <w:rsid w:val="00040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614"/>
  </w:style>
  <w:style w:type="paragraph" w:styleId="NormalWeb">
    <w:name w:val="Normal (Web)"/>
    <w:basedOn w:val="Normal"/>
    <w:uiPriority w:val="99"/>
    <w:unhideWhenUsed/>
    <w:rsid w:val="006D7B38"/>
    <w:pPr>
      <w:spacing w:after="0" w:line="240" w:lineRule="auto"/>
    </w:pPr>
    <w:rPr>
      <w:rFonts w:ascii="Times New Roman" w:eastAsiaTheme="minorHAnsi" w:hAnsi="Times New Roman" w:cs="Times New Roman"/>
      <w:sz w:val="24"/>
      <w:szCs w:val="24"/>
    </w:rPr>
  </w:style>
  <w:style w:type="character" w:styleId="CommentReference">
    <w:name w:val="annotation reference"/>
    <w:basedOn w:val="DefaultParagraphFont"/>
    <w:uiPriority w:val="99"/>
    <w:semiHidden/>
    <w:unhideWhenUsed/>
    <w:rsid w:val="00F3435D"/>
    <w:rPr>
      <w:sz w:val="16"/>
      <w:szCs w:val="16"/>
    </w:rPr>
  </w:style>
  <w:style w:type="paragraph" w:styleId="CommentText">
    <w:name w:val="annotation text"/>
    <w:basedOn w:val="Normal"/>
    <w:link w:val="CommentTextChar"/>
    <w:uiPriority w:val="99"/>
    <w:semiHidden/>
    <w:unhideWhenUsed/>
    <w:rsid w:val="00F3435D"/>
    <w:pPr>
      <w:spacing w:line="240" w:lineRule="auto"/>
    </w:pPr>
    <w:rPr>
      <w:sz w:val="20"/>
      <w:szCs w:val="20"/>
    </w:rPr>
  </w:style>
  <w:style w:type="character" w:customStyle="1" w:styleId="CommentTextChar">
    <w:name w:val="Comment Text Char"/>
    <w:basedOn w:val="DefaultParagraphFont"/>
    <w:link w:val="CommentText"/>
    <w:uiPriority w:val="99"/>
    <w:semiHidden/>
    <w:rsid w:val="00F3435D"/>
    <w:rPr>
      <w:sz w:val="20"/>
      <w:szCs w:val="20"/>
    </w:rPr>
  </w:style>
  <w:style w:type="paragraph" w:styleId="CommentSubject">
    <w:name w:val="annotation subject"/>
    <w:basedOn w:val="CommentText"/>
    <w:next w:val="CommentText"/>
    <w:link w:val="CommentSubjectChar"/>
    <w:uiPriority w:val="99"/>
    <w:semiHidden/>
    <w:unhideWhenUsed/>
    <w:rsid w:val="00F3435D"/>
    <w:rPr>
      <w:b/>
      <w:bCs/>
    </w:rPr>
  </w:style>
  <w:style w:type="character" w:customStyle="1" w:styleId="CommentSubjectChar">
    <w:name w:val="Comment Subject Char"/>
    <w:basedOn w:val="CommentTextChar"/>
    <w:link w:val="CommentSubject"/>
    <w:uiPriority w:val="99"/>
    <w:semiHidden/>
    <w:rsid w:val="00F3435D"/>
    <w:rPr>
      <w:b/>
      <w:bCs/>
      <w:sz w:val="20"/>
      <w:szCs w:val="20"/>
    </w:rPr>
  </w:style>
  <w:style w:type="character" w:styleId="Hyperlink">
    <w:name w:val="Hyperlink"/>
    <w:basedOn w:val="DefaultParagraphFont"/>
    <w:uiPriority w:val="99"/>
    <w:unhideWhenUsed/>
    <w:rsid w:val="000A506B"/>
    <w:rPr>
      <w:color w:val="0000FF" w:themeColor="hyperlink"/>
      <w:u w:val="single"/>
    </w:rPr>
  </w:style>
  <w:style w:type="paragraph" w:styleId="FootnoteText">
    <w:name w:val="footnote text"/>
    <w:basedOn w:val="Normal"/>
    <w:link w:val="FootnoteTextChar"/>
    <w:uiPriority w:val="99"/>
    <w:semiHidden/>
    <w:unhideWhenUsed/>
    <w:rsid w:val="003C1EB5"/>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3C1EB5"/>
    <w:rPr>
      <w:rFonts w:eastAsiaTheme="minorHAnsi"/>
      <w:sz w:val="20"/>
      <w:szCs w:val="20"/>
      <w:lang w:eastAsia="en-US"/>
    </w:rPr>
  </w:style>
  <w:style w:type="character" w:styleId="FootnoteReference">
    <w:name w:val="footnote reference"/>
    <w:basedOn w:val="DefaultParagraphFont"/>
    <w:uiPriority w:val="99"/>
    <w:semiHidden/>
    <w:unhideWhenUsed/>
    <w:rsid w:val="003C1EB5"/>
    <w:rPr>
      <w:vertAlign w:val="superscript"/>
    </w:rPr>
  </w:style>
  <w:style w:type="paragraph" w:customStyle="1" w:styleId="Default">
    <w:name w:val="Default"/>
    <w:rsid w:val="003C1EB5"/>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NoSpacing">
    <w:name w:val="No Spacing"/>
    <w:uiPriority w:val="1"/>
    <w:qFormat/>
    <w:rsid w:val="003C1EB5"/>
    <w:pPr>
      <w:spacing w:after="0" w:line="240" w:lineRule="auto"/>
    </w:pPr>
    <w:rPr>
      <w:rFonts w:eastAsiaTheme="minorHAnsi"/>
      <w:sz w:val="24"/>
      <w:szCs w:val="24"/>
      <w:lang w:eastAsia="en-US"/>
    </w:rPr>
  </w:style>
  <w:style w:type="numbering" w:customStyle="1" w:styleId="NoList1">
    <w:name w:val="No List1"/>
    <w:next w:val="NoList"/>
    <w:uiPriority w:val="99"/>
    <w:semiHidden/>
    <w:unhideWhenUsed/>
    <w:rsid w:val="00C147B4"/>
  </w:style>
  <w:style w:type="paragraph" w:customStyle="1" w:styleId="Revision1">
    <w:name w:val="Revision1"/>
    <w:next w:val="Revision"/>
    <w:hidden/>
    <w:uiPriority w:val="99"/>
    <w:semiHidden/>
    <w:rsid w:val="00C147B4"/>
    <w:pPr>
      <w:spacing w:after="0" w:line="240" w:lineRule="auto"/>
    </w:pPr>
  </w:style>
  <w:style w:type="character" w:customStyle="1" w:styleId="FollowedHyperlink1">
    <w:name w:val="FollowedHyperlink1"/>
    <w:basedOn w:val="DefaultParagraphFont"/>
    <w:uiPriority w:val="99"/>
    <w:semiHidden/>
    <w:unhideWhenUsed/>
    <w:rsid w:val="00C147B4"/>
    <w:rPr>
      <w:color w:val="800080"/>
      <w:u w:val="single"/>
    </w:rPr>
  </w:style>
  <w:style w:type="paragraph" w:styleId="Revision">
    <w:name w:val="Revision"/>
    <w:hidden/>
    <w:uiPriority w:val="99"/>
    <w:semiHidden/>
    <w:rsid w:val="00C147B4"/>
    <w:pPr>
      <w:spacing w:after="0" w:line="240" w:lineRule="auto"/>
    </w:pPr>
  </w:style>
  <w:style w:type="character" w:styleId="FollowedHyperlink">
    <w:name w:val="FollowedHyperlink"/>
    <w:basedOn w:val="DefaultParagraphFont"/>
    <w:uiPriority w:val="99"/>
    <w:semiHidden/>
    <w:unhideWhenUsed/>
    <w:rsid w:val="00C147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6834">
      <w:bodyDiv w:val="1"/>
      <w:marLeft w:val="0"/>
      <w:marRight w:val="0"/>
      <w:marTop w:val="0"/>
      <w:marBottom w:val="0"/>
      <w:divBdr>
        <w:top w:val="none" w:sz="0" w:space="0" w:color="auto"/>
        <w:left w:val="none" w:sz="0" w:space="0" w:color="auto"/>
        <w:bottom w:val="none" w:sz="0" w:space="0" w:color="auto"/>
        <w:right w:val="none" w:sz="0" w:space="0" w:color="auto"/>
      </w:divBdr>
    </w:div>
    <w:div w:id="120347400">
      <w:bodyDiv w:val="1"/>
      <w:marLeft w:val="0"/>
      <w:marRight w:val="0"/>
      <w:marTop w:val="0"/>
      <w:marBottom w:val="0"/>
      <w:divBdr>
        <w:top w:val="none" w:sz="0" w:space="0" w:color="auto"/>
        <w:left w:val="none" w:sz="0" w:space="0" w:color="auto"/>
        <w:bottom w:val="none" w:sz="0" w:space="0" w:color="auto"/>
        <w:right w:val="none" w:sz="0" w:space="0" w:color="auto"/>
      </w:divBdr>
    </w:div>
    <w:div w:id="177889233">
      <w:bodyDiv w:val="1"/>
      <w:marLeft w:val="0"/>
      <w:marRight w:val="0"/>
      <w:marTop w:val="0"/>
      <w:marBottom w:val="0"/>
      <w:divBdr>
        <w:top w:val="none" w:sz="0" w:space="0" w:color="auto"/>
        <w:left w:val="none" w:sz="0" w:space="0" w:color="auto"/>
        <w:bottom w:val="none" w:sz="0" w:space="0" w:color="auto"/>
        <w:right w:val="none" w:sz="0" w:space="0" w:color="auto"/>
      </w:divBdr>
    </w:div>
    <w:div w:id="236868210">
      <w:bodyDiv w:val="1"/>
      <w:marLeft w:val="0"/>
      <w:marRight w:val="0"/>
      <w:marTop w:val="0"/>
      <w:marBottom w:val="0"/>
      <w:divBdr>
        <w:top w:val="none" w:sz="0" w:space="0" w:color="auto"/>
        <w:left w:val="none" w:sz="0" w:space="0" w:color="auto"/>
        <w:bottom w:val="none" w:sz="0" w:space="0" w:color="auto"/>
        <w:right w:val="none" w:sz="0" w:space="0" w:color="auto"/>
      </w:divBdr>
    </w:div>
    <w:div w:id="498272714">
      <w:bodyDiv w:val="1"/>
      <w:marLeft w:val="0"/>
      <w:marRight w:val="0"/>
      <w:marTop w:val="0"/>
      <w:marBottom w:val="0"/>
      <w:divBdr>
        <w:top w:val="none" w:sz="0" w:space="0" w:color="auto"/>
        <w:left w:val="none" w:sz="0" w:space="0" w:color="auto"/>
        <w:bottom w:val="none" w:sz="0" w:space="0" w:color="auto"/>
        <w:right w:val="none" w:sz="0" w:space="0" w:color="auto"/>
      </w:divBdr>
    </w:div>
    <w:div w:id="812212715">
      <w:bodyDiv w:val="1"/>
      <w:marLeft w:val="0"/>
      <w:marRight w:val="0"/>
      <w:marTop w:val="0"/>
      <w:marBottom w:val="0"/>
      <w:divBdr>
        <w:top w:val="none" w:sz="0" w:space="0" w:color="auto"/>
        <w:left w:val="none" w:sz="0" w:space="0" w:color="auto"/>
        <w:bottom w:val="none" w:sz="0" w:space="0" w:color="auto"/>
        <w:right w:val="none" w:sz="0" w:space="0" w:color="auto"/>
      </w:divBdr>
    </w:div>
    <w:div w:id="1733576741">
      <w:bodyDiv w:val="1"/>
      <w:marLeft w:val="0"/>
      <w:marRight w:val="0"/>
      <w:marTop w:val="0"/>
      <w:marBottom w:val="0"/>
      <w:divBdr>
        <w:top w:val="none" w:sz="0" w:space="0" w:color="auto"/>
        <w:left w:val="none" w:sz="0" w:space="0" w:color="auto"/>
        <w:bottom w:val="none" w:sz="0" w:space="0" w:color="auto"/>
        <w:right w:val="none" w:sz="0" w:space="0" w:color="auto"/>
      </w:divBdr>
    </w:div>
    <w:div w:id="1740715279">
      <w:bodyDiv w:val="1"/>
      <w:marLeft w:val="0"/>
      <w:marRight w:val="0"/>
      <w:marTop w:val="0"/>
      <w:marBottom w:val="0"/>
      <w:divBdr>
        <w:top w:val="none" w:sz="0" w:space="0" w:color="auto"/>
        <w:left w:val="none" w:sz="0" w:space="0" w:color="auto"/>
        <w:bottom w:val="none" w:sz="0" w:space="0" w:color="auto"/>
        <w:right w:val="none" w:sz="0" w:space="0" w:color="auto"/>
      </w:divBdr>
    </w:div>
    <w:div w:id="190888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knowsley.gov.uk/your-council/policies,-plans-and-strategies/people/equality-diversity" TargetMode="External"/><Relationship Id="rId18"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nowsley.gov.uk/your-council/policies,-plans-and-strategies/people/equality-diversity" TargetMode="External"/><Relationship Id="rId5" Type="http://schemas.openxmlformats.org/officeDocument/2006/relationships/styles" Target="styles.xml"/><Relationship Id="rId15" Type="http://schemas.openxmlformats.org/officeDocument/2006/relationships/chart" Target="charts/chart2.xml"/><Relationship Id="rId10" Type="http://schemas.openxmlformats.org/officeDocument/2006/relationships/hyperlink" Target="http://www.knowsley.gov.uk/your-council/policies,-plans-and-strategies/people/equality-diversity" TargetMode="External"/><Relationship Id="rId19" Type="http://schemas.openxmlformats.org/officeDocument/2006/relationships/chart" Target="charts/chart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Tables!$B$82</c:f>
              <c:strCache>
                <c:ptCount val="1"/>
                <c:pt idx="0">
                  <c:v>No.</c:v>
                </c:pt>
              </c:strCache>
            </c:strRef>
          </c:tx>
          <c:spPr>
            <a:solidFill>
              <a:schemeClr val="accent1"/>
            </a:solidFill>
            <a:ln>
              <a:noFill/>
            </a:ln>
            <a:effectLst/>
          </c:spPr>
          <c:invertIfNegative val="0"/>
          <c:cat>
            <c:strRef>
              <c:f>Tables!$A$83:$A$88</c:f>
              <c:strCache>
                <c:ptCount val="6"/>
                <c:pt idx="0">
                  <c:v>16-24</c:v>
                </c:pt>
                <c:pt idx="1">
                  <c:v>25-34</c:v>
                </c:pt>
                <c:pt idx="2">
                  <c:v>35-44</c:v>
                </c:pt>
                <c:pt idx="3">
                  <c:v>45-54</c:v>
                </c:pt>
                <c:pt idx="4">
                  <c:v>55-64</c:v>
                </c:pt>
                <c:pt idx="5">
                  <c:v>65+</c:v>
                </c:pt>
              </c:strCache>
            </c:strRef>
          </c:cat>
          <c:val>
            <c:numRef>
              <c:f>Tables!$B$83:$B$88</c:f>
              <c:numCache>
                <c:formatCode>General</c:formatCode>
                <c:ptCount val="6"/>
                <c:pt idx="0">
                  <c:v>79</c:v>
                </c:pt>
                <c:pt idx="1">
                  <c:v>319</c:v>
                </c:pt>
                <c:pt idx="2">
                  <c:v>587</c:v>
                </c:pt>
                <c:pt idx="3">
                  <c:v>821</c:v>
                </c:pt>
                <c:pt idx="4">
                  <c:v>881</c:v>
                </c:pt>
                <c:pt idx="5">
                  <c:v>120</c:v>
                </c:pt>
              </c:numCache>
            </c:numRef>
          </c:val>
          <c:extLst>
            <c:ext xmlns:c16="http://schemas.microsoft.com/office/drawing/2014/chart" uri="{C3380CC4-5D6E-409C-BE32-E72D297353CC}">
              <c16:uniqueId val="{00000000-418D-4633-9134-6347F68ECA72}"/>
            </c:ext>
          </c:extLst>
        </c:ser>
        <c:dLbls>
          <c:showLegendKey val="0"/>
          <c:showVal val="0"/>
          <c:showCatName val="0"/>
          <c:showSerName val="0"/>
          <c:showPercent val="0"/>
          <c:showBubbleSize val="0"/>
        </c:dLbls>
        <c:gapWidth val="219"/>
        <c:overlap val="-27"/>
        <c:axId val="615916720"/>
        <c:axId val="615919344"/>
      </c:barChart>
      <c:catAx>
        <c:axId val="61591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919344"/>
        <c:crosses val="autoZero"/>
        <c:auto val="1"/>
        <c:lblAlgn val="ctr"/>
        <c:lblOffset val="100"/>
        <c:noMultiLvlLbl val="0"/>
      </c:catAx>
      <c:valAx>
        <c:axId val="61591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916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Disability</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5D-4575-A089-CB0A945286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5D-4575-A089-CB0A945286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5D-4575-A089-CB0A945286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Tables!$G$30:$G$32</c:f>
              <c:strCache>
                <c:ptCount val="3"/>
                <c:pt idx="0">
                  <c:v>No</c:v>
                </c:pt>
                <c:pt idx="1">
                  <c:v>Prefer Not to say </c:v>
                </c:pt>
                <c:pt idx="2">
                  <c:v>Yes</c:v>
                </c:pt>
              </c:strCache>
            </c:strRef>
          </c:cat>
          <c:val>
            <c:numRef>
              <c:f>Tables!$H$30:$H$32</c:f>
              <c:numCache>
                <c:formatCode>General</c:formatCode>
                <c:ptCount val="3"/>
                <c:pt idx="0">
                  <c:v>1797</c:v>
                </c:pt>
                <c:pt idx="1">
                  <c:v>40</c:v>
                </c:pt>
                <c:pt idx="2">
                  <c:v>98</c:v>
                </c:pt>
              </c:numCache>
            </c:numRef>
          </c:val>
          <c:extLst>
            <c:ext xmlns:c16="http://schemas.microsoft.com/office/drawing/2014/chart" uri="{C3380CC4-5D6E-409C-BE32-E72D297353CC}">
              <c16:uniqueId val="{00000006-5F5D-4575-A089-CB0A945286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Tables!$A$9</c:f>
              <c:strCache>
                <c:ptCount val="1"/>
                <c:pt idx="0">
                  <c:v>Full time</c:v>
                </c:pt>
              </c:strCache>
            </c:strRef>
          </c:tx>
          <c:spPr>
            <a:solidFill>
              <a:schemeClr val="accent1"/>
            </a:solidFill>
            <a:ln>
              <a:noFill/>
            </a:ln>
            <a:effectLst/>
          </c:spPr>
          <c:invertIfNegative val="0"/>
          <c:cat>
            <c:strRef>
              <c:f>Tables!$B$8:$C$8</c:f>
              <c:strCache>
                <c:ptCount val="2"/>
                <c:pt idx="0">
                  <c:v>Female</c:v>
                </c:pt>
                <c:pt idx="1">
                  <c:v>Male</c:v>
                </c:pt>
              </c:strCache>
            </c:strRef>
          </c:cat>
          <c:val>
            <c:numRef>
              <c:f>Tables!$B$9:$C$9</c:f>
              <c:numCache>
                <c:formatCode>General</c:formatCode>
                <c:ptCount val="2"/>
                <c:pt idx="0">
                  <c:v>866</c:v>
                </c:pt>
                <c:pt idx="1">
                  <c:v>609</c:v>
                </c:pt>
              </c:numCache>
            </c:numRef>
          </c:val>
          <c:extLst>
            <c:ext xmlns:c16="http://schemas.microsoft.com/office/drawing/2014/chart" uri="{C3380CC4-5D6E-409C-BE32-E72D297353CC}">
              <c16:uniqueId val="{00000000-4F9A-4CEF-8831-695E4FF31EF5}"/>
            </c:ext>
          </c:extLst>
        </c:ser>
        <c:ser>
          <c:idx val="1"/>
          <c:order val="1"/>
          <c:tx>
            <c:strRef>
              <c:f>Tables!$A$10</c:f>
              <c:strCache>
                <c:ptCount val="1"/>
                <c:pt idx="0">
                  <c:v>Part Time</c:v>
                </c:pt>
              </c:strCache>
            </c:strRef>
          </c:tx>
          <c:spPr>
            <a:solidFill>
              <a:schemeClr val="accent2"/>
            </a:solidFill>
            <a:ln>
              <a:noFill/>
            </a:ln>
            <a:effectLst/>
          </c:spPr>
          <c:invertIfNegative val="0"/>
          <c:cat>
            <c:strRef>
              <c:f>Tables!$B$8:$C$8</c:f>
              <c:strCache>
                <c:ptCount val="2"/>
                <c:pt idx="0">
                  <c:v>Female</c:v>
                </c:pt>
                <c:pt idx="1">
                  <c:v>Male</c:v>
                </c:pt>
              </c:strCache>
            </c:strRef>
          </c:cat>
          <c:val>
            <c:numRef>
              <c:f>Tables!$B$10:$C$10</c:f>
              <c:numCache>
                <c:formatCode>General</c:formatCode>
                <c:ptCount val="2"/>
                <c:pt idx="0">
                  <c:v>860</c:v>
                </c:pt>
                <c:pt idx="1">
                  <c:v>67</c:v>
                </c:pt>
              </c:numCache>
            </c:numRef>
          </c:val>
          <c:extLst>
            <c:ext xmlns:c16="http://schemas.microsoft.com/office/drawing/2014/chart" uri="{C3380CC4-5D6E-409C-BE32-E72D297353CC}">
              <c16:uniqueId val="{00000001-4F9A-4CEF-8831-695E4FF31EF5}"/>
            </c:ext>
          </c:extLst>
        </c:ser>
        <c:dLbls>
          <c:showLegendKey val="0"/>
          <c:showVal val="0"/>
          <c:showCatName val="0"/>
          <c:showSerName val="0"/>
          <c:showPercent val="0"/>
          <c:showBubbleSize val="0"/>
        </c:dLbls>
        <c:gapWidth val="150"/>
        <c:overlap val="100"/>
        <c:axId val="585584776"/>
        <c:axId val="585576248"/>
      </c:barChart>
      <c:catAx>
        <c:axId val="58558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76248"/>
        <c:crosses val="autoZero"/>
        <c:auto val="1"/>
        <c:lblAlgn val="ctr"/>
        <c:lblOffset val="100"/>
        <c:noMultiLvlLbl val="0"/>
      </c:catAx>
      <c:valAx>
        <c:axId val="585576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8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a:t>
            </a:r>
            <a:r>
              <a:rPr lang="en-GB" baseline="0"/>
              <a:t> </a:t>
            </a:r>
            <a:endParaRPr lang="en-GB"/>
          </a:p>
        </c:rich>
      </c:tx>
      <c:layout>
        <c:manualLayout>
          <c:xMode val="edge"/>
          <c:yMode val="edge"/>
          <c:x val="6.1881889763779514E-2"/>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Charts!$B$21</c:f>
              <c:strCache>
                <c:ptCount val="1"/>
                <c:pt idx="0">
                  <c:v>No.</c:v>
                </c:pt>
              </c:strCache>
            </c:strRef>
          </c:tx>
          <c:dPt>
            <c:idx val="0"/>
            <c:bubble3D val="0"/>
            <c:explosion val="22"/>
            <c:spPr>
              <a:solidFill>
                <a:schemeClr val="accent1"/>
              </a:solidFill>
              <a:ln w="19050">
                <a:solidFill>
                  <a:schemeClr val="lt1"/>
                </a:solidFill>
              </a:ln>
              <a:effectLst/>
            </c:spPr>
            <c:extLst>
              <c:ext xmlns:c16="http://schemas.microsoft.com/office/drawing/2014/chart" uri="{C3380CC4-5D6E-409C-BE32-E72D297353CC}">
                <c16:uniqueId val="{00000001-32B1-416B-84CF-40D5DE90C4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B1-416B-84CF-40D5DE90C47F}"/>
              </c:ext>
            </c:extLst>
          </c:dPt>
          <c:dPt>
            <c:idx val="2"/>
            <c:bubble3D val="0"/>
            <c:explosion val="12"/>
            <c:spPr>
              <a:solidFill>
                <a:schemeClr val="accent3"/>
              </a:solidFill>
              <a:ln w="19050">
                <a:solidFill>
                  <a:schemeClr val="lt1"/>
                </a:solidFill>
              </a:ln>
              <a:effectLst/>
            </c:spPr>
            <c:extLst>
              <c:ext xmlns:c16="http://schemas.microsoft.com/office/drawing/2014/chart" uri="{C3380CC4-5D6E-409C-BE32-E72D297353CC}">
                <c16:uniqueId val="{00000005-32B1-416B-84CF-40D5DE90C4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Charts!$A$22:$A$24</c:f>
              <c:strCache>
                <c:ptCount val="3"/>
                <c:pt idx="0">
                  <c:v>BME</c:v>
                </c:pt>
                <c:pt idx="1">
                  <c:v>White British </c:v>
                </c:pt>
                <c:pt idx="2">
                  <c:v>Prefer not to say</c:v>
                </c:pt>
              </c:strCache>
            </c:strRef>
          </c:cat>
          <c:val>
            <c:numRef>
              <c:f>Charts!$B$22:$B$24</c:f>
              <c:numCache>
                <c:formatCode>General</c:formatCode>
                <c:ptCount val="3"/>
                <c:pt idx="0">
                  <c:v>41</c:v>
                </c:pt>
                <c:pt idx="1">
                  <c:v>2192</c:v>
                </c:pt>
                <c:pt idx="2">
                  <c:v>21</c:v>
                </c:pt>
              </c:numCache>
            </c:numRef>
          </c:val>
          <c:extLst>
            <c:ext xmlns:c16="http://schemas.microsoft.com/office/drawing/2014/chart" uri="{C3380CC4-5D6E-409C-BE32-E72D297353CC}">
              <c16:uniqueId val="{00000006-32B1-416B-84CF-40D5DE90C47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Tables!$B$68</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E1-45E2-B07B-2C85693B6D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E1-45E2-B07B-2C85693B6D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E1-45E2-B07B-2C85693B6D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E1-45E2-B07B-2C85693B6D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Tables!$A$69:$A$72</c:f>
              <c:strCache>
                <c:ptCount val="4"/>
                <c:pt idx="0">
                  <c:v>Christian</c:v>
                </c:pt>
                <c:pt idx="1">
                  <c:v>Non-Christian </c:v>
                </c:pt>
                <c:pt idx="2">
                  <c:v>No religion or belief</c:v>
                </c:pt>
                <c:pt idx="3">
                  <c:v>Prefer not to say</c:v>
                </c:pt>
              </c:strCache>
            </c:strRef>
          </c:cat>
          <c:val>
            <c:numRef>
              <c:f>Tables!$B$69:$B$72</c:f>
              <c:numCache>
                <c:formatCode>General</c:formatCode>
                <c:ptCount val="4"/>
                <c:pt idx="0">
                  <c:v>1354</c:v>
                </c:pt>
                <c:pt idx="1">
                  <c:v>25</c:v>
                </c:pt>
                <c:pt idx="2">
                  <c:v>428</c:v>
                </c:pt>
                <c:pt idx="3">
                  <c:v>186</c:v>
                </c:pt>
              </c:numCache>
            </c:numRef>
          </c:val>
          <c:extLst>
            <c:ext xmlns:c16="http://schemas.microsoft.com/office/drawing/2014/chart" uri="{C3380CC4-5D6E-409C-BE32-E72D297353CC}">
              <c16:uniqueId val="{00000008-9EE1-45E2-B07B-2C85693B6DA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Tables!$B$120</c:f>
              <c:strCache>
                <c:ptCount val="1"/>
                <c:pt idx="0">
                  <c:v>No.</c:v>
                </c:pt>
              </c:strCache>
            </c:strRef>
          </c:tx>
          <c:spPr>
            <a:solidFill>
              <a:schemeClr val="accent1"/>
            </a:solidFill>
            <a:ln>
              <a:noFill/>
            </a:ln>
            <a:effectLst/>
          </c:spPr>
          <c:invertIfNegative val="0"/>
          <c:cat>
            <c:strRef>
              <c:f>Tables!$A$121:$A$130</c:f>
              <c:strCache>
                <c:ptCount val="10"/>
                <c:pt idx="0">
                  <c:v>0-4</c:v>
                </c:pt>
                <c:pt idx="1">
                  <c:v>5-9</c:v>
                </c:pt>
                <c:pt idx="2">
                  <c:v>10-14</c:v>
                </c:pt>
                <c:pt idx="3">
                  <c:v>15-19</c:v>
                </c:pt>
                <c:pt idx="4">
                  <c:v>20-24</c:v>
                </c:pt>
                <c:pt idx="5">
                  <c:v>25-29</c:v>
                </c:pt>
                <c:pt idx="6">
                  <c:v>30-34</c:v>
                </c:pt>
                <c:pt idx="7">
                  <c:v>35-39</c:v>
                </c:pt>
                <c:pt idx="8">
                  <c:v>40-44</c:v>
                </c:pt>
                <c:pt idx="9">
                  <c:v>45-50</c:v>
                </c:pt>
              </c:strCache>
            </c:strRef>
          </c:cat>
          <c:val>
            <c:numRef>
              <c:f>Tables!$B$121:$B$130</c:f>
              <c:numCache>
                <c:formatCode>General</c:formatCode>
                <c:ptCount val="10"/>
                <c:pt idx="0">
                  <c:v>849</c:v>
                </c:pt>
                <c:pt idx="1">
                  <c:v>266</c:v>
                </c:pt>
                <c:pt idx="2">
                  <c:v>528</c:v>
                </c:pt>
                <c:pt idx="3">
                  <c:v>530</c:v>
                </c:pt>
                <c:pt idx="4">
                  <c:v>257</c:v>
                </c:pt>
                <c:pt idx="5">
                  <c:v>122</c:v>
                </c:pt>
                <c:pt idx="6">
                  <c:v>155</c:v>
                </c:pt>
                <c:pt idx="7">
                  <c:v>69</c:v>
                </c:pt>
                <c:pt idx="8">
                  <c:v>27</c:v>
                </c:pt>
                <c:pt idx="9">
                  <c:v>4</c:v>
                </c:pt>
              </c:numCache>
            </c:numRef>
          </c:val>
          <c:extLst>
            <c:ext xmlns:c16="http://schemas.microsoft.com/office/drawing/2014/chart" uri="{C3380CC4-5D6E-409C-BE32-E72D297353CC}">
              <c16:uniqueId val="{00000000-C7D8-4366-9A80-85DC1A0FD705}"/>
            </c:ext>
          </c:extLst>
        </c:ser>
        <c:dLbls>
          <c:showLegendKey val="0"/>
          <c:showVal val="0"/>
          <c:showCatName val="0"/>
          <c:showSerName val="0"/>
          <c:showPercent val="0"/>
          <c:showBubbleSize val="0"/>
        </c:dLbls>
        <c:gapWidth val="219"/>
        <c:overlap val="-27"/>
        <c:axId val="702530128"/>
        <c:axId val="702526520"/>
      </c:barChart>
      <c:catAx>
        <c:axId val="70253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526520"/>
        <c:crosses val="autoZero"/>
        <c:auto val="1"/>
        <c:lblAlgn val="ctr"/>
        <c:lblOffset val="100"/>
        <c:noMultiLvlLbl val="0"/>
      </c:catAx>
      <c:valAx>
        <c:axId val="702526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530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5C8A9002EA774C807070E8A13FFC84" ma:contentTypeVersion="11" ma:contentTypeDescription="Create a new document." ma:contentTypeScope="" ma:versionID="b3e52306ab4f751a54a2fa252ca039d2">
  <xsd:schema xmlns:xsd="http://www.w3.org/2001/XMLSchema" xmlns:xs="http://www.w3.org/2001/XMLSchema" xmlns:p="http://schemas.microsoft.com/office/2006/metadata/properties" xmlns:ns2="3ec07e83-f7e3-4dcc-adc5-c8aa47ae6cf9" xmlns:ns3="810bdae1-5d01-4273-9af6-ee16e9ebf41b" targetNamespace="http://schemas.microsoft.com/office/2006/metadata/properties" ma:root="true" ma:fieldsID="94e0772ef9c3d6f533f903ea7db81406" ns2:_="" ns3:_="">
    <xsd:import namespace="3ec07e83-f7e3-4dcc-adc5-c8aa47ae6cf9"/>
    <xsd:import namespace="810bdae1-5d01-4273-9af6-ee16e9ebf4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07e83-f7e3-4dcc-adc5-c8aa47ae6c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0bdae1-5d01-4273-9af6-ee16e9ebf4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3ED5A1-8E68-4A1D-8579-B78C9F39CED4}">
  <ds:schemaRefs>
    <ds:schemaRef ds:uri="http://schemas.microsoft.com/sharepoint/v3/contenttype/forms"/>
  </ds:schemaRefs>
</ds:datastoreItem>
</file>

<file path=customXml/itemProps2.xml><?xml version="1.0" encoding="utf-8"?>
<ds:datastoreItem xmlns:ds="http://schemas.openxmlformats.org/officeDocument/2006/customXml" ds:itemID="{0115A62B-0508-46AB-BE5E-BBDC0FA926CD}">
  <ds:schemaRefs>
    <ds:schemaRef ds:uri="http://schemas.microsoft.com/office/2006/metadata/properties"/>
  </ds:schemaRefs>
</ds:datastoreItem>
</file>

<file path=customXml/itemProps3.xml><?xml version="1.0" encoding="utf-8"?>
<ds:datastoreItem xmlns:ds="http://schemas.openxmlformats.org/officeDocument/2006/customXml" ds:itemID="{17E10CB7-AD03-45EA-B7B4-574E87A84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07e83-f7e3-4dcc-adc5-c8aa47ae6cf9"/>
    <ds:schemaRef ds:uri="810bdae1-5d01-4273-9af6-ee16e9ebf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2826</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cairns</dc:creator>
  <cp:lastModifiedBy>Forkin, Gwen</cp:lastModifiedBy>
  <cp:revision>3</cp:revision>
  <dcterms:created xsi:type="dcterms:W3CDTF">2021-07-16T13:18:00Z</dcterms:created>
  <dcterms:modified xsi:type="dcterms:W3CDTF">2021-07-16T13:21:00Z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0x010100715C8A9002EA774C807070E8A13FFC84</vt:lpwstr>
  </property>
  <property fmtid="{D5CDD505-2E9C-101B-9397-08002B2CF9AE}" pid="3" name="Order">
    <vt:r8>476300</vt:r8>
  </property>
</Properties>
</file>